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1C06BA">
      <w:pPr>
        <w:rPr>
          <w:rFonts w:eastAsia="黑体" w:cs="Times New Roman"/>
        </w:rPr>
      </w:pPr>
    </w:p>
    <w:p w14:paraId="0CDA19C4">
      <w:pPr>
        <w:rPr>
          <w:rFonts w:eastAsia="黑体" w:cs="Times New Roman"/>
        </w:rPr>
      </w:pPr>
    </w:p>
    <w:p w14:paraId="5D99CBAF">
      <w:pPr>
        <w:rPr>
          <w:rFonts w:eastAsia="黑体" w:cs="Times New Roman"/>
        </w:rPr>
      </w:pPr>
    </w:p>
    <w:p w14:paraId="45F03FBC">
      <w:pPr>
        <w:rPr>
          <w:rFonts w:eastAsia="黑体" w:cs="Times New Roman"/>
        </w:rPr>
      </w:pPr>
    </w:p>
    <w:p w14:paraId="25E211BE">
      <w:pPr>
        <w:rPr>
          <w:rFonts w:eastAsia="黑体" w:cs="Times New Roman"/>
        </w:rPr>
      </w:pPr>
    </w:p>
    <w:p w14:paraId="44AF343D">
      <w:pPr>
        <w:rPr>
          <w:rFonts w:eastAsia="黑体" w:cs="Times New Roman"/>
        </w:rPr>
      </w:pPr>
    </w:p>
    <w:p w14:paraId="03DEFF9D">
      <w:pPr>
        <w:rPr>
          <w:rFonts w:eastAsia="黑体" w:cs="Times New Roman"/>
        </w:rPr>
      </w:pPr>
    </w:p>
    <w:p w14:paraId="37997C8B">
      <w:pPr>
        <w:rPr>
          <w:rFonts w:eastAsia="黑体" w:cs="Times New Roman"/>
        </w:rPr>
      </w:pPr>
    </w:p>
    <w:p w14:paraId="4128B803">
      <w:pPr>
        <w:jc w:val="center"/>
        <w:rPr>
          <w:rFonts w:cs="Times New Roman"/>
        </w:rPr>
      </w:pPr>
      <w:r>
        <w:rPr>
          <w:rFonts w:cs="Times New Roman"/>
        </w:rPr>
        <w:t>中大</w:t>
      </w:r>
      <w:r>
        <w:rPr>
          <w:rFonts w:hint="eastAsia" w:cs="Times New Roman"/>
        </w:rPr>
        <w:t>办</w:t>
      </w:r>
      <w:r>
        <w:rPr>
          <w:rFonts w:cs="Times New Roman"/>
        </w:rPr>
        <w:t>〔2021〕26号</w:t>
      </w:r>
    </w:p>
    <w:p w14:paraId="6C58B440">
      <w:pPr>
        <w:rPr>
          <w:rFonts w:eastAsia="黑体" w:cs="Times New Roman"/>
        </w:rPr>
      </w:pPr>
    </w:p>
    <w:p w14:paraId="39F18B16">
      <w:pPr>
        <w:rPr>
          <w:rFonts w:eastAsia="黑体" w:cs="Times New Roman"/>
        </w:rPr>
      </w:pPr>
      <w:r>
        <w:rPr>
          <w:rFonts w:eastAsia="黑体" w:cs="Times New Roman"/>
        </w:rPr>
        <mc:AlternateContent>
          <mc:Choice Requires="wps">
            <w:drawing>
              <wp:anchor distT="0" distB="0" distL="114300" distR="114300" simplePos="0" relativeHeight="251659264" behindDoc="0" locked="0" layoutInCell="1" allowOverlap="1">
                <wp:simplePos x="0" y="0"/>
                <wp:positionH relativeFrom="page">
                  <wp:posOffset>1008380</wp:posOffset>
                </wp:positionH>
                <wp:positionV relativeFrom="page">
                  <wp:posOffset>2520315</wp:posOffset>
                </wp:positionV>
                <wp:extent cx="5544185" cy="864235"/>
                <wp:effectExtent l="0" t="0" r="635" b="0"/>
                <wp:wrapNone/>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544185" cy="864235"/>
                        </a:xfrm>
                        <a:prstGeom prst="rect">
                          <a:avLst/>
                        </a:prstGeom>
                        <a:noFill/>
                        <a:ln>
                          <a:noFill/>
                        </a:ln>
                      </wps:spPr>
                      <wps:txbx>
                        <w:txbxContent>
                          <w:p w14:paraId="4C5A339A">
                            <w:pPr>
                              <w:jc w:val="center"/>
                              <w:rPr>
                                <w:rFonts w:eastAsia="方正小标宋简体"/>
                                <w:bCs/>
                                <w:color w:val="FF0000"/>
                                <w:w w:val="80"/>
                                <w:sz w:val="110"/>
                              </w:rPr>
                            </w:pPr>
                            <w:r>
                              <w:rPr>
                                <w:rFonts w:eastAsia="方正小标宋简体"/>
                                <w:bCs/>
                                <w:color w:val="FF0000"/>
                                <w:w w:val="80"/>
                                <w:sz w:val="110"/>
                              </w:rPr>
                              <w:t>中</w:t>
                            </w:r>
                            <w:r>
                              <w:rPr>
                                <w:rFonts w:hint="eastAsia" w:eastAsia="方正小标宋简体"/>
                                <w:bCs/>
                                <w:color w:val="FF0000"/>
                                <w:w w:val="80"/>
                                <w:sz w:val="110"/>
                              </w:rPr>
                              <w:t xml:space="preserve"> </w:t>
                            </w:r>
                            <w:r>
                              <w:rPr>
                                <w:rFonts w:eastAsia="方正小标宋简体"/>
                                <w:bCs/>
                                <w:color w:val="FF0000"/>
                                <w:w w:val="80"/>
                                <w:sz w:val="110"/>
                              </w:rPr>
                              <w:t>山 大 学 文 件</w:t>
                            </w:r>
                          </w:p>
                          <w:p w14:paraId="64A26092"/>
                        </w:txbxContent>
                      </wps:txbx>
                      <wps:bodyPr rot="0" vert="horz" wrap="square" lIns="0" tIns="0" rIns="0" bIns="0" anchor="ctr" anchorCtr="0" upright="1"/>
                    </wps:wsp>
                  </a:graphicData>
                </a:graphic>
              </wp:anchor>
            </w:drawing>
          </mc:Choice>
          <mc:Fallback>
            <w:pict>
              <v:shape id="_x0000_s1026" o:spid="_x0000_s1026" o:spt="202" type="#_x0000_t202" style="position:absolute;left:0pt;margin-left:79.4pt;margin-top:198.45pt;height:68.05pt;width:436.55pt;mso-position-horizontal-relative:page;mso-position-vertical-relative:page;z-index:251659264;v-text-anchor:middle;mso-width-relative:page;mso-height-relative:page;" filled="f" stroked="f" coordsize="21600,21600" o:gfxdata="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&#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v50IbaAAAADAEAAA8AAAAAAAAAAQAgAAAAIgAAAGRy&#10;cy9kb3ducmV2LnhtbFBLAQIUABQAAAAIAIdO4kCaCxciAwIAAO0DAAAOAAAAAAAAAAEAIAAAACkB&#10;AABkcnMvZTJvRG9jLnhtbFBLBQYAAAAABgAGAFkBAACeBQAAAAA=&#10;">
                <v:fill on="f" focussize="0,0"/>
                <v:stroke on="f"/>
                <v:imagedata o:title=""/>
                <o:lock v:ext="edit" aspectratio="f"/>
                <v:textbox inset="0mm,0mm,0mm,0mm">
                  <w:txbxContent>
                    <w:p w14:paraId="4C5A339A">
                      <w:pPr>
                        <w:jc w:val="center"/>
                        <w:rPr>
                          <w:rFonts w:eastAsia="方正小标宋简体"/>
                          <w:bCs/>
                          <w:color w:val="FF0000"/>
                          <w:w w:val="80"/>
                          <w:sz w:val="110"/>
                        </w:rPr>
                      </w:pPr>
                      <w:r>
                        <w:rPr>
                          <w:rFonts w:eastAsia="方正小标宋简体"/>
                          <w:bCs/>
                          <w:color w:val="FF0000"/>
                          <w:w w:val="80"/>
                          <w:sz w:val="110"/>
                        </w:rPr>
                        <w:t>中</w:t>
                      </w:r>
                      <w:r>
                        <w:rPr>
                          <w:rFonts w:hint="eastAsia" w:eastAsia="方正小标宋简体"/>
                          <w:bCs/>
                          <w:color w:val="FF0000"/>
                          <w:w w:val="80"/>
                          <w:sz w:val="110"/>
                        </w:rPr>
                        <w:t xml:space="preserve"> </w:t>
                      </w:r>
                      <w:r>
                        <w:rPr>
                          <w:rFonts w:eastAsia="方正小标宋简体"/>
                          <w:bCs/>
                          <w:color w:val="FF0000"/>
                          <w:w w:val="80"/>
                          <w:sz w:val="110"/>
                        </w:rPr>
                        <w:t>山 大 学 文 件</w:t>
                      </w:r>
                    </w:p>
                    <w:p w14:paraId="64A26092"/>
                  </w:txbxContent>
                </v:textbox>
              </v:shape>
            </w:pict>
          </mc:Fallback>
        </mc:AlternateContent>
      </w:r>
      <w:r>
        <w:rPr>
          <w:rFonts w:eastAsia="黑体" w:cs="Times New Roman"/>
        </w:rPr>
        <mc:AlternateContent>
          <mc:Choice Requires="wps">
            <w:drawing>
              <wp:anchor distT="0" distB="0" distL="114300" distR="114300" simplePos="0" relativeHeight="251660288" behindDoc="0" locked="0" layoutInCell="1" allowOverlap="1">
                <wp:simplePos x="0" y="0"/>
                <wp:positionH relativeFrom="page">
                  <wp:posOffset>1008380</wp:posOffset>
                </wp:positionH>
                <wp:positionV relativeFrom="page">
                  <wp:posOffset>4536440</wp:posOffset>
                </wp:positionV>
                <wp:extent cx="5544185" cy="0"/>
                <wp:effectExtent l="17780" t="12065" r="10160" b="1651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5544185" cy="0"/>
                        </a:xfrm>
                        <a:prstGeom prst="line">
                          <a:avLst/>
                        </a:prstGeom>
                        <a:noFill/>
                        <a:ln w="19050">
                          <a:solidFill>
                            <a:srgbClr val="FF0000"/>
                          </a:solidFill>
                          <a:round/>
                        </a:ln>
                      </wps:spPr>
                      <wps:bodyPr/>
                    </wps:wsp>
                  </a:graphicData>
                </a:graphic>
              </wp:anchor>
            </w:drawing>
          </mc:Choice>
          <mc:Fallback>
            <w:pict>
              <v:line id="_x0000_s1026" o:spid="_x0000_s1026" o:spt="20" style="position:absolute;left:0pt;margin-left:79.4pt;margin-top:357.2pt;height:0pt;width:436.55pt;mso-position-horizontal-relative:page;mso-position-vertical-relative:page;z-index:251660288;mso-width-relative:page;mso-height-relative:page;" filled="f" stroked="t" coordsize="21600,21600" o:gfxdata="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2a9kQ9kA&#10;AAAMAQAADwAAAAAAAAABACAAAAAiAAAAZHJzL2Rvd25yZXYueG1sUEsBAhQAFAAAAAgAh07iQDgT&#10;kvHlAQAAqwMAAA4AAAAAAAAAAQAgAAAAKAEAAGRycy9lMm9Eb2MueG1sUEsFBgAAAAAGAAYAWQEA&#10;AH8FAAAAAA==&#10;">
                <v:fill on="f" focussize="0,0"/>
                <v:stroke weight="1.5pt" color="#FF0000" joinstyle="round"/>
                <v:imagedata o:title=""/>
                <o:lock v:ext="edit" aspectratio="f"/>
              </v:line>
            </w:pict>
          </mc:Fallback>
        </mc:AlternateContent>
      </w:r>
    </w:p>
    <w:p w14:paraId="33F95F7F">
      <w:pPr>
        <w:jc w:val="center"/>
        <w:rPr>
          <w:rFonts w:eastAsia="方正小标宋简体" w:cs="Times New Roman"/>
          <w:kern w:val="0"/>
          <w:sz w:val="44"/>
          <w:szCs w:val="44"/>
        </w:rPr>
      </w:pPr>
      <w:r>
        <w:rPr>
          <w:rFonts w:eastAsia="方正小标宋简体" w:cs="Times New Roman"/>
          <w:kern w:val="0"/>
          <w:sz w:val="44"/>
          <w:szCs w:val="44"/>
        </w:rPr>
        <w:t>中山大学关于印发《</w:t>
      </w:r>
      <w:r>
        <w:rPr>
          <w:rFonts w:hint="eastAsia" w:eastAsia="方正小标宋简体" w:cs="Times New Roman"/>
          <w:kern w:val="0"/>
          <w:sz w:val="44"/>
          <w:szCs w:val="44"/>
        </w:rPr>
        <w:t>中山大学文化传承创新</w:t>
      </w:r>
      <w:r>
        <w:rPr>
          <w:rFonts w:eastAsia="方正小标宋简体" w:cs="Times New Roman"/>
          <w:kern w:val="0"/>
          <w:sz w:val="44"/>
          <w:szCs w:val="44"/>
        </w:rPr>
        <w:br w:type="textWrapping"/>
      </w:r>
      <w:r>
        <w:rPr>
          <w:rFonts w:hint="eastAsia" w:eastAsia="方正小标宋简体" w:cs="Times New Roman"/>
          <w:kern w:val="0"/>
          <w:sz w:val="44"/>
          <w:szCs w:val="44"/>
        </w:rPr>
        <w:t>项目管理实施细则</w:t>
      </w:r>
      <w:r>
        <w:rPr>
          <w:rFonts w:eastAsia="方正小标宋简体" w:cs="Times New Roman"/>
          <w:kern w:val="0"/>
          <w:sz w:val="44"/>
          <w:szCs w:val="44"/>
        </w:rPr>
        <w:t>》的通知</w:t>
      </w:r>
    </w:p>
    <w:p w14:paraId="0A2BB204">
      <w:pPr>
        <w:rPr>
          <w:rFonts w:cs="Times New Roman"/>
        </w:rPr>
      </w:pPr>
    </w:p>
    <w:p w14:paraId="780F1259">
      <w:pPr>
        <w:jc w:val="both"/>
        <w:rPr>
          <w:rFonts w:cs="Times New Roman"/>
        </w:rPr>
      </w:pPr>
      <w:r>
        <w:rPr>
          <w:rFonts w:cs="Times New Roman"/>
        </w:rPr>
        <w:t>校机关各部、处、室，各学院、直属系，各直属单位，各附属医院（单位），产业集团：</w:t>
      </w:r>
    </w:p>
    <w:p w14:paraId="242115FF">
      <w:pPr>
        <w:ind w:firstLine="624" w:firstLineChars="20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《中山大学文化传承创新项目管理实施细则》已</w:t>
      </w:r>
      <w:r>
        <w:rPr>
          <w:rFonts w:cs="Times New Roman"/>
        </w:rPr>
        <w:t>经2021年第</w:t>
      </w:r>
      <w:r>
        <w:rPr>
          <w:rFonts w:hint="eastAsia" w:cs="Times New Roman"/>
        </w:rPr>
        <w:t>11</w:t>
      </w:r>
      <w:r>
        <w:rPr>
          <w:rFonts w:cs="Times New Roman"/>
        </w:rPr>
        <w:t>次</w:t>
      </w:r>
      <w:r>
        <w:rPr>
          <w:rFonts w:hint="eastAsia" w:cs="Times New Roman"/>
        </w:rPr>
        <w:t>校</w:t>
      </w:r>
      <w:r>
        <w:rPr>
          <w:rFonts w:cs="Times New Roman"/>
        </w:rPr>
        <w:t>党委常委会会议审议通过，现予以印发</w:t>
      </w:r>
      <w:r>
        <w:rPr>
          <w:rFonts w:hint="eastAsia" w:cs="Times New Roman"/>
        </w:rPr>
        <w:t>，</w:t>
      </w:r>
      <w:r>
        <w:rPr>
          <w:rFonts w:cs="Times New Roman"/>
        </w:rPr>
        <w:t>请遵照执行。</w:t>
      </w:r>
    </w:p>
    <w:p w14:paraId="658FEC62">
      <w:pPr>
        <w:ind w:firstLine="624" w:firstLineChars="200"/>
        <w:rPr>
          <w:rFonts w:cs="Times New Roman"/>
        </w:rPr>
      </w:pPr>
    </w:p>
    <w:p w14:paraId="04E85593">
      <w:pPr>
        <w:rPr>
          <w:rFonts w:cs="Times New Roman"/>
        </w:rPr>
      </w:pPr>
    </w:p>
    <w:p w14:paraId="27AA2287">
      <w:pPr>
        <w:ind w:right="1800" w:rightChars="577"/>
        <w:jc w:val="right"/>
        <w:rPr>
          <w:rFonts w:cs="Times New Roman"/>
        </w:rPr>
      </w:pPr>
      <w:r>
        <w:rPr>
          <w:rFonts w:cs="Times New Roman"/>
        </w:rPr>
        <w:t>中山大学</w:t>
      </w:r>
    </w:p>
    <w:p w14:paraId="4EC509CB">
      <w:pPr>
        <w:ind w:right="1216" w:rightChars="390"/>
        <w:jc w:val="right"/>
        <w:rPr>
          <w:rFonts w:cs="Times New Roman"/>
        </w:rPr>
      </w:pPr>
      <w:r>
        <w:rPr>
          <w:rFonts w:cs="Times New Roman"/>
        </w:rPr>
        <w:t>2021年</w:t>
      </w:r>
      <w:r>
        <w:rPr>
          <w:rFonts w:hint="eastAsia" w:cs="Times New Roman"/>
        </w:rPr>
        <w:t>6</w:t>
      </w:r>
      <w:r>
        <w:rPr>
          <w:rFonts w:cs="Times New Roman"/>
        </w:rPr>
        <w:t>月9日</w:t>
      </w:r>
    </w:p>
    <w:p w14:paraId="22DDC0C1">
      <w:pPr>
        <w:jc w:val="center"/>
        <w:rPr>
          <w:rFonts w:eastAsia="方正小标宋简体" w:cs="Times New Roman"/>
          <w:kern w:val="0"/>
          <w:sz w:val="44"/>
          <w:szCs w:val="44"/>
        </w:rPr>
      </w:pPr>
      <w:bookmarkStart w:id="0" w:name="OLE_LINK1"/>
      <w:bookmarkStart w:id="1" w:name="OLE_LINK2"/>
      <w:r>
        <w:rPr>
          <w:rFonts w:eastAsia="方正小标宋简体" w:cs="Times New Roman"/>
          <w:kern w:val="0"/>
          <w:sz w:val="44"/>
          <w:szCs w:val="44"/>
        </w:rPr>
        <w:t>中山大学</w:t>
      </w:r>
      <w:r>
        <w:rPr>
          <w:rFonts w:hint="eastAsia" w:eastAsia="方正小标宋简体" w:cs="Times New Roman"/>
          <w:kern w:val="0"/>
          <w:sz w:val="44"/>
          <w:szCs w:val="44"/>
        </w:rPr>
        <w:t>文化传承创新项目</w:t>
      </w:r>
      <w:r>
        <w:rPr>
          <w:rFonts w:eastAsia="方正小标宋简体" w:cs="Times New Roman"/>
          <w:kern w:val="0"/>
          <w:sz w:val="44"/>
          <w:szCs w:val="44"/>
        </w:rPr>
        <w:t>管理实施细则</w:t>
      </w:r>
    </w:p>
    <w:p w14:paraId="3729F24F">
      <w:pPr>
        <w:jc w:val="center"/>
        <w:rPr>
          <w:rFonts w:cs="Times New Roman"/>
          <w:szCs w:val="32"/>
        </w:rPr>
      </w:pPr>
    </w:p>
    <w:p w14:paraId="1DA49238">
      <w:pPr>
        <w:jc w:val="center"/>
        <w:rPr>
          <w:rFonts w:ascii="黑体" w:hAnsi="黑体" w:eastAsia="黑体" w:cs="Times New Roman"/>
          <w:kern w:val="0"/>
          <w:szCs w:val="32"/>
        </w:rPr>
      </w:pPr>
      <w:r>
        <w:rPr>
          <w:rFonts w:ascii="黑体" w:hAnsi="黑体" w:eastAsia="黑体" w:cs="Times New Roman"/>
          <w:kern w:val="0"/>
          <w:szCs w:val="32"/>
        </w:rPr>
        <w:t>第一章  总则</w:t>
      </w:r>
    </w:p>
    <w:p w14:paraId="0F82CE18">
      <w:pPr>
        <w:ind w:firstLine="624" w:firstLineChars="200"/>
        <w:jc w:val="both"/>
        <w:rPr>
          <w:rFonts w:cs="Times New Roman"/>
          <w:szCs w:val="32"/>
        </w:rPr>
      </w:pPr>
      <w:r>
        <w:rPr>
          <w:rFonts w:cs="Times New Roman"/>
          <w:b/>
          <w:szCs w:val="32"/>
        </w:rPr>
        <w:t>第一条</w:t>
      </w:r>
      <w:r>
        <w:rPr>
          <w:rFonts w:hint="eastAsia" w:cs="Times New Roman"/>
          <w:szCs w:val="32"/>
        </w:rPr>
        <w:t xml:space="preserve"> </w:t>
      </w:r>
      <w:r>
        <w:rPr>
          <w:rFonts w:cs="Times New Roman"/>
          <w:szCs w:val="32"/>
        </w:rPr>
        <w:t xml:space="preserve"> 为</w:t>
      </w:r>
      <w:r>
        <w:rPr>
          <w:rFonts w:hint="eastAsia" w:cs="Times New Roman"/>
          <w:szCs w:val="32"/>
        </w:rPr>
        <w:t>落实学校“德才兼备、领袖气质、家国情怀”的人才培养目标，着力营造“学在中大，追求卓越”的优良校风学风，积极发挥以文化人、以文育人、文化引领的作用，进一步</w:t>
      </w:r>
      <w:r>
        <w:rPr>
          <w:rFonts w:cs="Times New Roman"/>
          <w:szCs w:val="32"/>
        </w:rPr>
        <w:t>加强和规范学校</w:t>
      </w:r>
      <w:r>
        <w:rPr>
          <w:rFonts w:hint="eastAsia" w:cs="Times New Roman"/>
          <w:szCs w:val="32"/>
        </w:rPr>
        <w:t>文化传承创新项目</w:t>
      </w:r>
      <w:r>
        <w:rPr>
          <w:rFonts w:cs="Times New Roman"/>
          <w:szCs w:val="32"/>
        </w:rPr>
        <w:t>管理，提高</w:t>
      </w:r>
      <w:r>
        <w:rPr>
          <w:rFonts w:hint="eastAsia" w:cs="Times New Roman"/>
          <w:szCs w:val="32"/>
        </w:rPr>
        <w:t>项目经费</w:t>
      </w:r>
      <w:r>
        <w:rPr>
          <w:rFonts w:cs="Times New Roman"/>
          <w:szCs w:val="32"/>
        </w:rPr>
        <w:t>使用效益，根据</w:t>
      </w:r>
      <w:r>
        <w:rPr>
          <w:rFonts w:hint="eastAsia" w:cs="Times New Roman"/>
          <w:szCs w:val="32"/>
        </w:rPr>
        <w:t>上级部门和学校预算、财务等相关制度规定，</w:t>
      </w:r>
      <w:r>
        <w:rPr>
          <w:rFonts w:cs="Times New Roman"/>
          <w:szCs w:val="32"/>
        </w:rPr>
        <w:t>结合实际，制定本细则。</w:t>
      </w:r>
    </w:p>
    <w:p w14:paraId="27DB7DE2">
      <w:pPr>
        <w:ind w:firstLine="624" w:firstLineChars="200"/>
        <w:jc w:val="both"/>
        <w:rPr>
          <w:rFonts w:cs="Times New Roman"/>
          <w:szCs w:val="32"/>
        </w:rPr>
      </w:pPr>
      <w:r>
        <w:rPr>
          <w:rFonts w:cs="Times New Roman"/>
          <w:b/>
          <w:szCs w:val="32"/>
        </w:rPr>
        <w:t>第二条</w:t>
      </w:r>
      <w:r>
        <w:rPr>
          <w:rFonts w:hint="eastAsia" w:cs="Times New Roman"/>
          <w:szCs w:val="32"/>
        </w:rPr>
        <w:t xml:space="preserve"> </w:t>
      </w:r>
      <w:r>
        <w:rPr>
          <w:rFonts w:cs="Times New Roman"/>
          <w:szCs w:val="32"/>
        </w:rPr>
        <w:t xml:space="preserve"> </w:t>
      </w:r>
      <w:r>
        <w:rPr>
          <w:rFonts w:hint="eastAsia" w:cs="Times New Roman"/>
          <w:szCs w:val="32"/>
        </w:rPr>
        <w:t>本细则所指的文化传承创新项目是指符合学校办学宗旨和事业发展规划，促进学校内涵发展，对传承创新优秀文化有重要意义的文化建设项目。</w:t>
      </w:r>
      <w:r>
        <w:rPr>
          <w:rFonts w:cs="Times New Roman"/>
          <w:szCs w:val="32"/>
        </w:rPr>
        <w:t xml:space="preserve"> </w:t>
      </w:r>
    </w:p>
    <w:p w14:paraId="134C42BC">
      <w:pPr>
        <w:ind w:firstLine="624" w:firstLineChars="200"/>
        <w:jc w:val="both"/>
        <w:rPr>
          <w:rFonts w:cs="Times New Roman"/>
          <w:szCs w:val="32"/>
        </w:rPr>
      </w:pPr>
      <w:r>
        <w:rPr>
          <w:rFonts w:cs="Times New Roman"/>
          <w:b/>
          <w:szCs w:val="32"/>
        </w:rPr>
        <w:t>第</w:t>
      </w:r>
      <w:r>
        <w:rPr>
          <w:rFonts w:hint="eastAsia" w:cs="Times New Roman"/>
          <w:b/>
          <w:szCs w:val="32"/>
        </w:rPr>
        <w:t>三</w:t>
      </w:r>
      <w:r>
        <w:rPr>
          <w:rFonts w:cs="Times New Roman"/>
          <w:b/>
          <w:szCs w:val="32"/>
        </w:rPr>
        <w:t>条</w:t>
      </w:r>
      <w:r>
        <w:rPr>
          <w:rFonts w:hint="eastAsia" w:cs="Times New Roman"/>
          <w:szCs w:val="32"/>
        </w:rPr>
        <w:t xml:space="preserve"> </w:t>
      </w:r>
      <w:r>
        <w:rPr>
          <w:rFonts w:cs="Times New Roman"/>
          <w:szCs w:val="32"/>
        </w:rPr>
        <w:t xml:space="preserve"> </w:t>
      </w:r>
      <w:r>
        <w:rPr>
          <w:rFonts w:hint="eastAsia" w:cs="Times New Roman"/>
          <w:szCs w:val="32"/>
        </w:rPr>
        <w:t>文化传承创新项目管理贯彻“紧扣规划、整体设计、统筹兼顾、分类分层、严格遴选、注重绩效”的原则，建立健全“项目实施有目标、经费执行有监控、建设情况能考核、评价结果能运用”的全过程管理机制。</w:t>
      </w:r>
    </w:p>
    <w:p w14:paraId="6E641879">
      <w:pPr>
        <w:ind w:firstLine="624" w:firstLineChars="200"/>
        <w:jc w:val="both"/>
        <w:rPr>
          <w:rFonts w:cs="Times New Roman"/>
          <w:szCs w:val="32"/>
        </w:rPr>
      </w:pPr>
    </w:p>
    <w:p w14:paraId="0DB351C7">
      <w:pPr>
        <w:jc w:val="center"/>
        <w:rPr>
          <w:rFonts w:ascii="黑体" w:hAnsi="黑体" w:eastAsia="黑体" w:cs="Times New Roman"/>
          <w:kern w:val="0"/>
          <w:szCs w:val="32"/>
        </w:rPr>
      </w:pPr>
      <w:r>
        <w:rPr>
          <w:rFonts w:hint="eastAsia" w:ascii="黑体" w:hAnsi="黑体" w:eastAsia="黑体" w:cs="Times New Roman"/>
          <w:kern w:val="0"/>
          <w:szCs w:val="32"/>
        </w:rPr>
        <w:t>第二章  项目管理组织架构</w:t>
      </w:r>
    </w:p>
    <w:p w14:paraId="6357BB22">
      <w:pPr>
        <w:ind w:firstLine="624" w:firstLineChars="200"/>
        <w:jc w:val="both"/>
        <w:rPr>
          <w:rFonts w:cs="Times New Roman"/>
          <w:kern w:val="0"/>
          <w:szCs w:val="32"/>
        </w:rPr>
      </w:pPr>
      <w:r>
        <w:rPr>
          <w:rFonts w:hint="eastAsia" w:cs="Times New Roman"/>
          <w:b/>
          <w:kern w:val="0"/>
          <w:szCs w:val="32"/>
        </w:rPr>
        <w:t>第四条</w:t>
      </w:r>
      <w:r>
        <w:rPr>
          <w:rFonts w:hint="eastAsia" w:cs="Times New Roman"/>
          <w:kern w:val="0"/>
          <w:szCs w:val="32"/>
        </w:rPr>
        <w:t xml:space="preserve"> </w:t>
      </w:r>
      <w:r>
        <w:rPr>
          <w:rFonts w:cs="Times New Roman"/>
          <w:kern w:val="0"/>
          <w:szCs w:val="32"/>
        </w:rPr>
        <w:t xml:space="preserve"> </w:t>
      </w:r>
      <w:r>
        <w:rPr>
          <w:rFonts w:hint="eastAsia" w:cs="Times New Roman"/>
          <w:kern w:val="0"/>
          <w:szCs w:val="32"/>
        </w:rPr>
        <w:t>党委办公室是文化传承创新项目的管理责任部门，负责统筹文化传承创新</w:t>
      </w:r>
      <w:r>
        <w:rPr>
          <w:rFonts w:cs="Times New Roman"/>
          <w:kern w:val="0"/>
          <w:szCs w:val="32"/>
        </w:rPr>
        <w:t>项目</w:t>
      </w:r>
      <w:r>
        <w:rPr>
          <w:rFonts w:hint="eastAsia" w:cs="Times New Roman"/>
          <w:kern w:val="0"/>
          <w:szCs w:val="32"/>
        </w:rPr>
        <w:t>的</w:t>
      </w:r>
      <w:r>
        <w:rPr>
          <w:rFonts w:cs="Times New Roman"/>
          <w:kern w:val="0"/>
          <w:szCs w:val="32"/>
        </w:rPr>
        <w:t>建设</w:t>
      </w:r>
      <w:r>
        <w:rPr>
          <w:rFonts w:hint="eastAsia" w:cs="Times New Roman"/>
          <w:kern w:val="0"/>
          <w:szCs w:val="32"/>
        </w:rPr>
        <w:t>和</w:t>
      </w:r>
      <w:r>
        <w:rPr>
          <w:rFonts w:cs="Times New Roman"/>
          <w:kern w:val="0"/>
          <w:szCs w:val="32"/>
        </w:rPr>
        <w:t>管理</w:t>
      </w:r>
      <w:r>
        <w:rPr>
          <w:rFonts w:hint="eastAsia" w:cs="Times New Roman"/>
          <w:kern w:val="0"/>
          <w:szCs w:val="32"/>
        </w:rPr>
        <w:t>，</w:t>
      </w:r>
      <w:r>
        <w:rPr>
          <w:rFonts w:cs="Times New Roman"/>
          <w:kern w:val="0"/>
          <w:szCs w:val="32"/>
        </w:rPr>
        <w:t>切实履行</w:t>
      </w:r>
      <w:r>
        <w:rPr>
          <w:rFonts w:hint="eastAsia" w:cs="Times New Roman"/>
          <w:kern w:val="0"/>
          <w:szCs w:val="32"/>
        </w:rPr>
        <w:t>项目管理</w:t>
      </w:r>
      <w:r>
        <w:rPr>
          <w:rFonts w:cs="Times New Roman"/>
          <w:kern w:val="0"/>
          <w:szCs w:val="32"/>
        </w:rPr>
        <w:t>责任，确保预算执行进度和绩效目标</w:t>
      </w:r>
      <w:r>
        <w:rPr>
          <w:rFonts w:hint="eastAsia" w:cs="Times New Roman"/>
          <w:kern w:val="0"/>
          <w:szCs w:val="32"/>
        </w:rPr>
        <w:t>实现</w:t>
      </w:r>
      <w:r>
        <w:rPr>
          <w:rFonts w:cs="Times New Roman"/>
          <w:kern w:val="0"/>
          <w:szCs w:val="32"/>
        </w:rPr>
        <w:t>。</w:t>
      </w:r>
      <w:r>
        <w:rPr>
          <w:rFonts w:hint="eastAsia" w:cs="Times New Roman"/>
          <w:kern w:val="0"/>
          <w:szCs w:val="32"/>
        </w:rPr>
        <w:t>主要职责包括：</w:t>
      </w:r>
    </w:p>
    <w:p w14:paraId="207FE887">
      <w:pPr>
        <w:ind w:firstLine="624" w:firstLineChars="200"/>
        <w:rPr>
          <w:rFonts w:cs="Times New Roman"/>
          <w:kern w:val="0"/>
          <w:szCs w:val="32"/>
        </w:rPr>
      </w:pPr>
      <w:r>
        <w:rPr>
          <w:rFonts w:hint="eastAsia" w:cs="Times New Roman"/>
          <w:kern w:val="0"/>
          <w:szCs w:val="32"/>
        </w:rPr>
        <w:t>（一）制定项目管理制度、建设规划和</w:t>
      </w:r>
      <w:r>
        <w:rPr>
          <w:rFonts w:cs="Times New Roman"/>
          <w:kern w:val="0"/>
          <w:szCs w:val="32"/>
        </w:rPr>
        <w:t>建设方案</w:t>
      </w:r>
      <w:r>
        <w:rPr>
          <w:rFonts w:hint="eastAsia" w:cs="Times New Roman"/>
          <w:kern w:val="0"/>
          <w:szCs w:val="32"/>
        </w:rPr>
        <w:t>；</w:t>
      </w:r>
    </w:p>
    <w:p w14:paraId="42FF03A3">
      <w:pPr>
        <w:ind w:firstLine="624" w:firstLineChars="200"/>
        <w:rPr>
          <w:rFonts w:cs="Times New Roman"/>
          <w:kern w:val="0"/>
          <w:szCs w:val="32"/>
        </w:rPr>
      </w:pPr>
      <w:r>
        <w:rPr>
          <w:rFonts w:hint="eastAsia" w:cs="Times New Roman"/>
          <w:kern w:val="0"/>
          <w:szCs w:val="32"/>
        </w:rPr>
        <w:t>（二）组织</w:t>
      </w:r>
      <w:r>
        <w:rPr>
          <w:rFonts w:cs="Times New Roman"/>
          <w:kern w:val="0"/>
          <w:szCs w:val="32"/>
        </w:rPr>
        <w:t>项目评审论证</w:t>
      </w:r>
      <w:r>
        <w:rPr>
          <w:rFonts w:hint="eastAsia" w:cs="Times New Roman"/>
          <w:kern w:val="0"/>
          <w:szCs w:val="32"/>
        </w:rPr>
        <w:t>、立项入库，建立和维护项目库；</w:t>
      </w:r>
    </w:p>
    <w:p w14:paraId="3FE5E85B">
      <w:pPr>
        <w:ind w:firstLine="624" w:firstLineChars="200"/>
        <w:rPr>
          <w:rFonts w:cs="Times New Roman"/>
          <w:kern w:val="0"/>
          <w:szCs w:val="32"/>
        </w:rPr>
      </w:pPr>
      <w:r>
        <w:rPr>
          <w:rFonts w:hint="eastAsia" w:cs="Times New Roman"/>
          <w:kern w:val="0"/>
          <w:szCs w:val="32"/>
        </w:rPr>
        <w:t>（三）组织开展项目</w:t>
      </w:r>
      <w:r>
        <w:rPr>
          <w:rFonts w:cs="Times New Roman"/>
          <w:kern w:val="0"/>
          <w:szCs w:val="32"/>
        </w:rPr>
        <w:t>的预算</w:t>
      </w:r>
      <w:r>
        <w:rPr>
          <w:rFonts w:hint="eastAsia" w:cs="Times New Roman"/>
          <w:kern w:val="0"/>
          <w:szCs w:val="32"/>
        </w:rPr>
        <w:t>编制、</w:t>
      </w:r>
      <w:r>
        <w:rPr>
          <w:rFonts w:cs="Times New Roman"/>
          <w:kern w:val="0"/>
          <w:szCs w:val="32"/>
        </w:rPr>
        <w:t>经费划拨</w:t>
      </w:r>
      <w:r>
        <w:rPr>
          <w:rFonts w:hint="eastAsia" w:cs="Times New Roman"/>
          <w:kern w:val="0"/>
          <w:szCs w:val="32"/>
        </w:rPr>
        <w:t>、执行</w:t>
      </w:r>
      <w:r>
        <w:rPr>
          <w:rFonts w:cs="Times New Roman"/>
          <w:kern w:val="0"/>
          <w:szCs w:val="32"/>
        </w:rPr>
        <w:t>监控和项目绩效评价</w:t>
      </w:r>
      <w:r>
        <w:rPr>
          <w:rFonts w:hint="eastAsia" w:cs="Times New Roman"/>
          <w:kern w:val="0"/>
          <w:szCs w:val="32"/>
        </w:rPr>
        <w:t>；</w:t>
      </w:r>
    </w:p>
    <w:p w14:paraId="70C8A08B">
      <w:pPr>
        <w:ind w:firstLine="624" w:firstLineChars="200"/>
        <w:rPr>
          <w:rFonts w:cs="Times New Roman"/>
          <w:kern w:val="0"/>
          <w:szCs w:val="32"/>
        </w:rPr>
      </w:pPr>
      <w:r>
        <w:rPr>
          <w:rFonts w:hint="eastAsia" w:cs="Times New Roman"/>
          <w:kern w:val="0"/>
          <w:szCs w:val="32"/>
        </w:rPr>
        <w:t>（四）组织开展项目的推广宣传</w:t>
      </w:r>
      <w:r>
        <w:rPr>
          <w:rFonts w:cs="Times New Roman"/>
          <w:kern w:val="0"/>
          <w:szCs w:val="32"/>
        </w:rPr>
        <w:t>工作</w:t>
      </w:r>
      <w:r>
        <w:rPr>
          <w:rFonts w:hint="eastAsia" w:cs="Times New Roman"/>
          <w:kern w:val="0"/>
          <w:szCs w:val="32"/>
        </w:rPr>
        <w:t>；</w:t>
      </w:r>
    </w:p>
    <w:p w14:paraId="57743B9A">
      <w:pPr>
        <w:ind w:firstLine="624" w:firstLineChars="200"/>
        <w:jc w:val="both"/>
        <w:rPr>
          <w:rFonts w:cs="Times New Roman"/>
          <w:kern w:val="0"/>
          <w:szCs w:val="32"/>
        </w:rPr>
      </w:pPr>
      <w:r>
        <w:rPr>
          <w:rFonts w:hint="eastAsia" w:cs="Times New Roman"/>
          <w:kern w:val="0"/>
          <w:szCs w:val="32"/>
        </w:rPr>
        <w:t>（五）组织开展其它与传承创新优秀文化相关的工作。</w:t>
      </w:r>
    </w:p>
    <w:p w14:paraId="25A6E45B">
      <w:pPr>
        <w:ind w:firstLine="624" w:firstLineChars="200"/>
        <w:jc w:val="both"/>
        <w:rPr>
          <w:rFonts w:cs="Times New Roman"/>
          <w:szCs w:val="32"/>
        </w:rPr>
      </w:pPr>
      <w:r>
        <w:rPr>
          <w:rFonts w:hint="eastAsia" w:cs="Times New Roman"/>
          <w:b/>
          <w:kern w:val="0"/>
          <w:szCs w:val="32"/>
        </w:rPr>
        <w:t>第五条</w:t>
      </w:r>
      <w:r>
        <w:rPr>
          <w:rFonts w:hint="eastAsia" w:cs="Times New Roman"/>
          <w:kern w:val="0"/>
          <w:szCs w:val="32"/>
        </w:rPr>
        <w:t xml:space="preserve"> </w:t>
      </w:r>
      <w:r>
        <w:rPr>
          <w:rFonts w:cs="Times New Roman"/>
          <w:kern w:val="0"/>
          <w:szCs w:val="32"/>
        </w:rPr>
        <w:t xml:space="preserve"> </w:t>
      </w:r>
      <w:r>
        <w:rPr>
          <w:rFonts w:hint="eastAsia" w:cs="Times New Roman"/>
          <w:szCs w:val="32"/>
        </w:rPr>
        <w:t>各院系、各附属医院和相关职能部门等项目实施单位是文化传承创新项目的直接责任单位，负责组织本单位文化传承创新项目的申报、执行和绩效自评工作，确保预算执行进度和绩效目标实现，对资金使用的合规性、真实性和有效性负责。具体职责包括：</w:t>
      </w:r>
    </w:p>
    <w:p w14:paraId="154A2AAA">
      <w:pPr>
        <w:ind w:firstLine="624" w:firstLineChars="200"/>
        <w:jc w:val="both"/>
        <w:rPr>
          <w:rFonts w:cs="Times New Roman"/>
          <w:szCs w:val="32"/>
        </w:rPr>
      </w:pPr>
      <w:r>
        <w:rPr>
          <w:rFonts w:hint="eastAsia" w:cs="Times New Roman"/>
          <w:szCs w:val="32"/>
        </w:rPr>
        <w:t>（一）编制、报送项目申报材料或立项入库材料，明确项目实施方案和经费使用计划，配合党委办公室完成预算编制、项目申报及立项入库工作；</w:t>
      </w:r>
    </w:p>
    <w:p w14:paraId="51E6FDB6">
      <w:pPr>
        <w:ind w:firstLine="624" w:firstLineChars="200"/>
        <w:jc w:val="both"/>
        <w:rPr>
          <w:rFonts w:ascii="Calibri" w:hAnsi="Calibri" w:eastAsia="宋体" w:cs="Times New Roman"/>
          <w:kern w:val="0"/>
          <w:sz w:val="21"/>
          <w:szCs w:val="32"/>
        </w:rPr>
      </w:pPr>
      <w:r>
        <w:rPr>
          <w:rFonts w:hint="eastAsia" w:cs="Times New Roman"/>
          <w:kern w:val="0"/>
          <w:szCs w:val="32"/>
        </w:rPr>
        <w:t>（二）规范使用项目经费，提高经费使用效益，接受学校相关部门对项目的监督和审计；</w:t>
      </w:r>
    </w:p>
    <w:p w14:paraId="175F4A36">
      <w:pPr>
        <w:ind w:firstLine="624" w:firstLineChars="200"/>
        <w:jc w:val="both"/>
        <w:rPr>
          <w:rFonts w:cs="Times New Roman"/>
          <w:kern w:val="0"/>
          <w:szCs w:val="32"/>
        </w:rPr>
      </w:pPr>
      <w:r>
        <w:rPr>
          <w:rFonts w:hint="eastAsia" w:cs="Times New Roman"/>
          <w:kern w:val="0"/>
          <w:szCs w:val="32"/>
        </w:rPr>
        <w:t>（三）组织项目实施，确保项目建设进度和预期目标达成；</w:t>
      </w:r>
    </w:p>
    <w:p w14:paraId="7B86BC16">
      <w:pPr>
        <w:ind w:firstLine="624" w:firstLineChars="200"/>
        <w:jc w:val="both"/>
        <w:rPr>
          <w:rFonts w:cs="Times New Roman"/>
          <w:kern w:val="0"/>
          <w:szCs w:val="32"/>
        </w:rPr>
      </w:pPr>
      <w:r>
        <w:rPr>
          <w:rFonts w:hint="eastAsia" w:cs="Times New Roman"/>
          <w:kern w:val="0"/>
          <w:szCs w:val="32"/>
        </w:rPr>
        <w:t>（四）及时沟通反馈项目执行情况，如遇特殊情况，按照有关规定及时申请调整调剂；</w:t>
      </w:r>
      <w:r>
        <w:rPr>
          <w:rFonts w:cs="Times New Roman"/>
          <w:kern w:val="0"/>
          <w:szCs w:val="32"/>
        </w:rPr>
        <w:t xml:space="preserve"> </w:t>
      </w:r>
    </w:p>
    <w:p w14:paraId="1922591E">
      <w:pPr>
        <w:ind w:firstLine="624" w:firstLineChars="200"/>
        <w:jc w:val="both"/>
        <w:rPr>
          <w:rFonts w:ascii="Calibri" w:hAnsi="Calibri" w:eastAsia="宋体" w:cs="Times New Roman"/>
          <w:kern w:val="0"/>
          <w:sz w:val="21"/>
          <w:szCs w:val="32"/>
        </w:rPr>
      </w:pPr>
      <w:r>
        <w:rPr>
          <w:rFonts w:hint="eastAsia" w:cs="Times New Roman"/>
          <w:kern w:val="0"/>
          <w:szCs w:val="32"/>
        </w:rPr>
        <w:t>（五）对项目建设情况、绩效目标完成情况等进行自查自评，按照相关要求提交考核评估材料；</w:t>
      </w:r>
    </w:p>
    <w:p w14:paraId="591E166F">
      <w:pPr>
        <w:ind w:firstLine="624" w:firstLineChars="200"/>
        <w:jc w:val="both"/>
        <w:rPr>
          <w:rFonts w:ascii="Calibri" w:hAnsi="Calibri" w:eastAsia="宋体" w:cs="Times New Roman"/>
          <w:kern w:val="0"/>
          <w:sz w:val="21"/>
          <w:szCs w:val="32"/>
        </w:rPr>
      </w:pPr>
      <w:r>
        <w:rPr>
          <w:rFonts w:hint="eastAsia" w:cs="Times New Roman"/>
          <w:kern w:val="0"/>
          <w:szCs w:val="32"/>
        </w:rPr>
        <w:t>（六）对项目进行宣传推广。</w:t>
      </w:r>
    </w:p>
    <w:p w14:paraId="0C371614">
      <w:pPr>
        <w:ind w:firstLine="624" w:firstLineChars="200"/>
        <w:jc w:val="both"/>
        <w:rPr>
          <w:rFonts w:cs="Times New Roman"/>
          <w:kern w:val="0"/>
          <w:szCs w:val="32"/>
        </w:rPr>
      </w:pPr>
      <w:r>
        <w:rPr>
          <w:rFonts w:hint="eastAsia" w:cs="Times New Roman"/>
          <w:b/>
          <w:kern w:val="0"/>
          <w:szCs w:val="32"/>
        </w:rPr>
        <w:t>第六条</w:t>
      </w:r>
      <w:r>
        <w:rPr>
          <w:rFonts w:hint="eastAsia" w:cs="Times New Roman"/>
          <w:kern w:val="0"/>
          <w:szCs w:val="32"/>
        </w:rPr>
        <w:t xml:space="preserve"> </w:t>
      </w:r>
      <w:r>
        <w:rPr>
          <w:rFonts w:cs="Times New Roman"/>
          <w:kern w:val="0"/>
          <w:szCs w:val="32"/>
        </w:rPr>
        <w:t xml:space="preserve"> </w:t>
      </w:r>
      <w:r>
        <w:rPr>
          <w:rFonts w:hint="eastAsia" w:cs="Times New Roman"/>
          <w:kern w:val="0"/>
          <w:szCs w:val="32"/>
        </w:rPr>
        <w:t>项目负责人是项目组织实施和相关经费使用的直接责任人，一般为项目实施单位的主要负责人或相关经费使用人，一般由各院系、各附属医院和相关职能部门的党政主要负责人担任。</w:t>
      </w:r>
    </w:p>
    <w:p w14:paraId="598A083B">
      <w:pPr>
        <w:jc w:val="both"/>
        <w:rPr>
          <w:rFonts w:cs="Times New Roman"/>
          <w:kern w:val="0"/>
          <w:szCs w:val="32"/>
        </w:rPr>
      </w:pPr>
    </w:p>
    <w:p w14:paraId="516A6E13">
      <w:pPr>
        <w:jc w:val="center"/>
        <w:rPr>
          <w:rFonts w:ascii="黑体" w:hAnsi="黑体" w:eastAsia="黑体" w:cs="Times New Roman"/>
          <w:kern w:val="0"/>
          <w:szCs w:val="32"/>
        </w:rPr>
      </w:pPr>
      <w:r>
        <w:rPr>
          <w:rFonts w:ascii="黑体" w:hAnsi="黑体" w:eastAsia="黑体" w:cs="Times New Roman"/>
          <w:kern w:val="0"/>
          <w:szCs w:val="32"/>
        </w:rPr>
        <w:t>第</w:t>
      </w:r>
      <w:r>
        <w:rPr>
          <w:rFonts w:hint="eastAsia" w:ascii="黑体" w:hAnsi="黑体" w:eastAsia="黑体" w:cs="Times New Roman"/>
          <w:kern w:val="0"/>
          <w:szCs w:val="32"/>
        </w:rPr>
        <w:t>三</w:t>
      </w:r>
      <w:r>
        <w:rPr>
          <w:rFonts w:ascii="黑体" w:hAnsi="黑体" w:eastAsia="黑体" w:cs="Times New Roman"/>
          <w:kern w:val="0"/>
          <w:szCs w:val="32"/>
        </w:rPr>
        <w:t xml:space="preserve">章  </w:t>
      </w:r>
      <w:r>
        <w:rPr>
          <w:rFonts w:hint="eastAsia" w:ascii="黑体" w:hAnsi="黑体" w:eastAsia="黑体" w:cs="Times New Roman"/>
          <w:kern w:val="0"/>
          <w:szCs w:val="32"/>
        </w:rPr>
        <w:t>项目库管理</w:t>
      </w:r>
    </w:p>
    <w:p w14:paraId="0E11E383">
      <w:pPr>
        <w:ind w:firstLine="624" w:firstLineChars="200"/>
        <w:jc w:val="both"/>
        <w:rPr>
          <w:rFonts w:cs="Times New Roman"/>
          <w:szCs w:val="32"/>
        </w:rPr>
      </w:pPr>
      <w:r>
        <w:rPr>
          <w:rFonts w:hint="eastAsia" w:cs="Times New Roman"/>
          <w:b/>
          <w:szCs w:val="32"/>
        </w:rPr>
        <w:t>第七条</w:t>
      </w:r>
      <w:r>
        <w:rPr>
          <w:rFonts w:hint="eastAsia" w:cs="Times New Roman"/>
          <w:szCs w:val="32"/>
        </w:rPr>
        <w:t xml:space="preserve"> </w:t>
      </w:r>
      <w:r>
        <w:rPr>
          <w:rFonts w:cs="Times New Roman"/>
          <w:szCs w:val="32"/>
        </w:rPr>
        <w:t xml:space="preserve"> </w:t>
      </w:r>
      <w:r>
        <w:rPr>
          <w:rFonts w:hint="eastAsia" w:cs="Times New Roman"/>
          <w:szCs w:val="32"/>
        </w:rPr>
        <w:t>文化传承创新项目实行三年滚动项目库管理，按照轻重缓急原则有序安排。</w:t>
      </w:r>
    </w:p>
    <w:p w14:paraId="49F1183C">
      <w:pPr>
        <w:ind w:firstLine="624" w:firstLineChars="200"/>
        <w:jc w:val="both"/>
        <w:rPr>
          <w:rFonts w:cs="Times New Roman"/>
          <w:szCs w:val="32"/>
        </w:rPr>
      </w:pPr>
      <w:r>
        <w:rPr>
          <w:rFonts w:hint="eastAsia" w:cs="Times New Roman"/>
          <w:b/>
          <w:szCs w:val="32"/>
        </w:rPr>
        <w:t>第八条</w:t>
      </w:r>
      <w:r>
        <w:rPr>
          <w:rFonts w:cs="Times New Roman"/>
          <w:szCs w:val="32"/>
        </w:rPr>
        <w:t xml:space="preserve">  </w:t>
      </w:r>
      <w:r>
        <w:rPr>
          <w:rFonts w:hint="eastAsia" w:cs="Times New Roman"/>
          <w:szCs w:val="32"/>
        </w:rPr>
        <w:t>党委办公室根据学校发展规划和重点工作安排，请示分管校领导和主要校领导确定学校文化传承创新项目的年度建设目标和重点任务，</w:t>
      </w:r>
      <w:r>
        <w:rPr>
          <w:rFonts w:hint="eastAsia" w:cs="Times New Roman"/>
          <w:szCs w:val="32"/>
          <w:rPrChange w:id="0" w:author="seasance" w:date="2025-08-18T17:11:21Z">
            <w:rPr>
              <w:rFonts w:hint="eastAsia" w:cs="Times New Roman"/>
              <w:szCs w:val="32"/>
            </w:rPr>
          </w:rPrChange>
        </w:rPr>
        <w:t>制定或更新文化传承创新项目申报指南，经党委办公室内部决策讨论后报分管校领导审批。</w:t>
      </w:r>
      <w:r>
        <w:rPr>
          <w:rFonts w:hint="eastAsia" w:cs="Times New Roman"/>
          <w:szCs w:val="32"/>
        </w:rPr>
        <w:t>申报指南明确年度重点支持方向、绩效考核指标等，引导各项目实施单位申报符合建设目标、满足师生期待的高品位、高质量文化传承创新项目，提高经费使用效益。</w:t>
      </w:r>
      <w:bookmarkStart w:id="2" w:name="_GoBack"/>
      <w:bookmarkEnd w:id="2"/>
    </w:p>
    <w:p w14:paraId="4620F4B3">
      <w:pPr>
        <w:ind w:firstLine="624" w:firstLineChars="200"/>
        <w:jc w:val="both"/>
        <w:rPr>
          <w:rFonts w:cs="Times New Roman"/>
        </w:rPr>
      </w:pPr>
      <w:r>
        <w:rPr>
          <w:rFonts w:hint="eastAsia" w:cs="Times New Roman"/>
          <w:b/>
        </w:rPr>
        <w:t>第九条</w:t>
      </w:r>
      <w:r>
        <w:rPr>
          <w:rFonts w:hint="eastAsia" w:cs="Times New Roman"/>
        </w:rPr>
        <w:t xml:space="preserve"> </w:t>
      </w:r>
      <w:r>
        <w:rPr>
          <w:rFonts w:cs="Times New Roman"/>
        </w:rPr>
        <w:t xml:space="preserve"> </w:t>
      </w:r>
      <w:r>
        <w:rPr>
          <w:rFonts w:hint="eastAsia" w:cs="Times New Roman"/>
        </w:rPr>
        <w:t>文化传承创新项目实行分类分层管理，主要支持音像出版、视觉形象、校园活动</w:t>
      </w:r>
      <w:r>
        <w:rPr>
          <w:rFonts w:cs="Times New Roman"/>
        </w:rPr>
        <w:t>三类</w:t>
      </w:r>
      <w:r>
        <w:rPr>
          <w:rFonts w:hint="eastAsia" w:cs="Times New Roman"/>
        </w:rPr>
        <w:t>。</w:t>
      </w:r>
    </w:p>
    <w:p w14:paraId="5D217288">
      <w:pPr>
        <w:ind w:firstLine="624" w:firstLineChars="200"/>
        <w:jc w:val="both"/>
        <w:rPr>
          <w:rFonts w:cs="Times New Roman"/>
        </w:rPr>
      </w:pPr>
      <w:r>
        <w:rPr>
          <w:rFonts w:hint="eastAsia" w:cs="Times New Roman"/>
        </w:rPr>
        <w:t>（一）音像出版类主要支持校院两级围绕传承创新优秀文化，产出一批在国内外学科领域有影响的人文社科类经典著作以及能充分体现大学文化、凝练大学精神、弘扬优秀校史文化的校史研究类书籍；产出一批校史档案文献资源建设成果；产出一批能产生较大影响力、展现学校良好形象的宣传片、纪录片、微视频、微电影等音像、影像文化产品。</w:t>
      </w:r>
    </w:p>
    <w:p w14:paraId="1784D5F3">
      <w:pPr>
        <w:ind w:firstLine="624" w:firstLineChars="200"/>
        <w:jc w:val="both"/>
        <w:rPr>
          <w:rFonts w:cs="Times New Roman"/>
        </w:rPr>
      </w:pPr>
      <w:r>
        <w:rPr>
          <w:rFonts w:hint="eastAsia" w:cs="Times New Roman"/>
        </w:rPr>
        <w:t>（二）视觉形象类主要支持校院两级围绕传承创新优秀文化，产出一批高质量的文创产品，开展视觉形象标识设计制作推广、美化优化大学景观、文博场馆及楼宇道路等公共空间文化建设、宣传展板制作、举办专题展览等有关的文化传承创新项目。</w:t>
      </w:r>
    </w:p>
    <w:p w14:paraId="1AC647E5">
      <w:pPr>
        <w:ind w:firstLine="624" w:firstLineChars="200"/>
        <w:jc w:val="both"/>
        <w:rPr>
          <w:rFonts w:cs="Times New Roman"/>
        </w:rPr>
      </w:pPr>
      <w:r>
        <w:rPr>
          <w:rFonts w:hint="eastAsia" w:cs="Times New Roman"/>
        </w:rPr>
        <w:t>（三）校园活动类主要支持校院两级围绕传承创新优秀文化开展文体艺术类、讲座论坛类、典礼仪式类、庆典晚会类、竞赛竞技类等校园文化活动。</w:t>
      </w:r>
    </w:p>
    <w:p w14:paraId="712A311B">
      <w:pPr>
        <w:ind w:firstLine="624" w:firstLineChars="200"/>
        <w:jc w:val="both"/>
        <w:rPr>
          <w:rFonts w:cs="Times New Roman"/>
          <w:color w:val="FF0000"/>
        </w:rPr>
      </w:pPr>
      <w:r>
        <w:rPr>
          <w:rFonts w:hint="eastAsia" w:cs="Times New Roman"/>
          <w:b/>
        </w:rPr>
        <w:t>第十条</w:t>
      </w:r>
      <w:r>
        <w:rPr>
          <w:rFonts w:hint="eastAsia" w:cs="Times New Roman"/>
        </w:rPr>
        <w:t xml:space="preserve"> </w:t>
      </w:r>
      <w:r>
        <w:rPr>
          <w:rFonts w:cs="Times New Roman"/>
        </w:rPr>
        <w:t xml:space="preserve"> </w:t>
      </w:r>
      <w:r>
        <w:rPr>
          <w:rFonts w:hint="eastAsia" w:cs="Times New Roman"/>
        </w:rPr>
        <w:t>项目实施单位根据学校项目申报工作的要求，围绕党委办公室确定的年度建设目标和重点任务提出项目入库申请，申请入库的项目需经过项目实施单位内部集体决策讨论通过。</w:t>
      </w:r>
    </w:p>
    <w:p w14:paraId="5F52C959">
      <w:pPr>
        <w:ind w:firstLine="624" w:firstLineChars="200"/>
        <w:jc w:val="both"/>
        <w:rPr>
          <w:rFonts w:cs="Times New Roman"/>
          <w:kern w:val="0"/>
          <w:szCs w:val="32"/>
        </w:rPr>
      </w:pPr>
      <w:r>
        <w:rPr>
          <w:rFonts w:hint="eastAsia" w:cs="Times New Roman"/>
          <w:b/>
          <w:kern w:val="0"/>
          <w:szCs w:val="32"/>
        </w:rPr>
        <w:t>第十一条</w:t>
      </w:r>
      <w:r>
        <w:rPr>
          <w:rFonts w:hint="eastAsia" w:cs="Times New Roman"/>
          <w:kern w:val="0"/>
          <w:szCs w:val="32"/>
        </w:rPr>
        <w:t xml:space="preserve"> </w:t>
      </w:r>
      <w:r>
        <w:rPr>
          <w:rFonts w:cs="Times New Roman"/>
          <w:kern w:val="0"/>
          <w:szCs w:val="32"/>
        </w:rPr>
        <w:t xml:space="preserve"> </w:t>
      </w:r>
      <w:r>
        <w:rPr>
          <w:rFonts w:hint="eastAsia" w:cs="Times New Roman"/>
          <w:kern w:val="0"/>
          <w:szCs w:val="32"/>
        </w:rPr>
        <w:t>党委办公室对项目的必要性、可行性组织严格评审论证，同时对项目开展事前绩效评估，重点评估项目投入经济性、绩效目标合理性等，评估结果作为项目入库和申请预算的必备要件。评审论证实</w:t>
      </w:r>
      <w:r>
        <w:rPr>
          <w:rFonts w:cs="Times New Roman"/>
        </w:rPr>
        <w:t>行专家</w:t>
      </w:r>
      <w:r>
        <w:rPr>
          <w:rFonts w:hint="eastAsia" w:cs="Times New Roman"/>
        </w:rPr>
        <w:t>论证</w:t>
      </w:r>
      <w:r>
        <w:rPr>
          <w:rFonts w:cs="Times New Roman"/>
        </w:rPr>
        <w:t>与</w:t>
      </w:r>
      <w:r>
        <w:rPr>
          <w:rFonts w:hint="eastAsia" w:cs="Times New Roman"/>
        </w:rPr>
        <w:t>集体</w:t>
      </w:r>
      <w:r>
        <w:rPr>
          <w:rFonts w:cs="Times New Roman"/>
        </w:rPr>
        <w:t>决策相结合的</w:t>
      </w:r>
      <w:r>
        <w:rPr>
          <w:rFonts w:hint="eastAsia" w:cs="Times New Roman"/>
        </w:rPr>
        <w:t>方式，</w:t>
      </w:r>
      <w:r>
        <w:rPr>
          <w:rFonts w:cs="Times New Roman"/>
        </w:rPr>
        <w:t>必要时</w:t>
      </w:r>
      <w:r>
        <w:rPr>
          <w:rFonts w:hint="eastAsia" w:cs="Times New Roman"/>
        </w:rPr>
        <w:t>引入</w:t>
      </w:r>
      <w:r>
        <w:rPr>
          <w:rFonts w:cs="Times New Roman"/>
        </w:rPr>
        <w:t>第三方机构</w:t>
      </w:r>
      <w:r>
        <w:rPr>
          <w:rFonts w:hint="eastAsia" w:cs="Times New Roman"/>
        </w:rPr>
        <w:t>进行</w:t>
      </w:r>
      <w:r>
        <w:rPr>
          <w:rFonts w:cs="Times New Roman"/>
        </w:rPr>
        <w:t>论证</w:t>
      </w:r>
      <w:r>
        <w:rPr>
          <w:rFonts w:hint="eastAsia" w:cs="Times New Roman"/>
        </w:rPr>
        <w:t>。专家评审组成人员应包括行业专家、院（系）及附属医院代表、职能部门代表，人数为不少于7人的单数。</w:t>
      </w:r>
    </w:p>
    <w:p w14:paraId="658086C3">
      <w:pPr>
        <w:ind w:firstLine="624" w:firstLineChars="200"/>
        <w:jc w:val="both"/>
        <w:rPr>
          <w:rFonts w:cs="Times New Roman"/>
          <w:kern w:val="0"/>
          <w:szCs w:val="32"/>
        </w:rPr>
      </w:pPr>
      <w:r>
        <w:rPr>
          <w:rFonts w:hint="eastAsia" w:cs="Times New Roman"/>
          <w:b/>
          <w:kern w:val="0"/>
          <w:szCs w:val="32"/>
        </w:rPr>
        <w:t>第十二条</w:t>
      </w:r>
      <w:r>
        <w:rPr>
          <w:rFonts w:hint="eastAsia" w:cs="Times New Roman"/>
          <w:kern w:val="0"/>
          <w:szCs w:val="32"/>
        </w:rPr>
        <w:t xml:space="preserve"> </w:t>
      </w:r>
      <w:r>
        <w:rPr>
          <w:rFonts w:cs="Times New Roman"/>
          <w:kern w:val="0"/>
          <w:szCs w:val="32"/>
        </w:rPr>
        <w:t xml:space="preserve"> </w:t>
      </w:r>
      <w:r>
        <w:rPr>
          <w:rFonts w:hint="eastAsia" w:cs="Times New Roman"/>
          <w:kern w:val="0"/>
          <w:szCs w:val="32"/>
        </w:rPr>
        <w:t>党委办公室根据专家评审结果及学校预算管理规定立项入库相关程序报批后建立项目库。</w:t>
      </w:r>
    </w:p>
    <w:p w14:paraId="0A85C0D9">
      <w:pPr>
        <w:ind w:firstLine="624" w:firstLineChars="200"/>
        <w:jc w:val="both"/>
        <w:rPr>
          <w:rFonts w:cs="Times New Roman"/>
          <w:kern w:val="0"/>
          <w:szCs w:val="32"/>
        </w:rPr>
      </w:pPr>
      <w:r>
        <w:rPr>
          <w:rFonts w:hint="eastAsia" w:cs="Times New Roman"/>
          <w:b/>
          <w:szCs w:val="32"/>
        </w:rPr>
        <w:t>第十三条</w:t>
      </w:r>
      <w:r>
        <w:rPr>
          <w:rFonts w:hint="eastAsia" w:cs="Times New Roman"/>
          <w:szCs w:val="32"/>
        </w:rPr>
        <w:t xml:space="preserve"> </w:t>
      </w:r>
      <w:r>
        <w:rPr>
          <w:rFonts w:cs="Times New Roman"/>
          <w:szCs w:val="32"/>
        </w:rPr>
        <w:t xml:space="preserve"> </w:t>
      </w:r>
      <w:r>
        <w:rPr>
          <w:rFonts w:hint="eastAsia" w:cs="Times New Roman"/>
          <w:szCs w:val="32"/>
        </w:rPr>
        <w:t>已立项入库的项目，因故无法继续进行的可根据学校预算管理相关规定申请终止。</w:t>
      </w:r>
    </w:p>
    <w:p w14:paraId="2179D8D9">
      <w:pPr>
        <w:ind w:firstLine="624" w:firstLineChars="200"/>
        <w:rPr>
          <w:rFonts w:cs="Times New Roman"/>
          <w:kern w:val="0"/>
          <w:szCs w:val="32"/>
        </w:rPr>
      </w:pPr>
    </w:p>
    <w:p w14:paraId="7F51C213">
      <w:pPr>
        <w:jc w:val="center"/>
        <w:rPr>
          <w:rFonts w:ascii="黑体" w:hAnsi="黑体" w:eastAsia="黑体" w:cs="Times New Roman"/>
          <w:kern w:val="0"/>
          <w:szCs w:val="32"/>
        </w:rPr>
      </w:pPr>
      <w:r>
        <w:rPr>
          <w:rFonts w:hint="eastAsia" w:ascii="黑体" w:hAnsi="黑体" w:eastAsia="黑体" w:cs="Times New Roman"/>
          <w:kern w:val="0"/>
          <w:szCs w:val="32"/>
        </w:rPr>
        <w:t xml:space="preserve">第四章 </w:t>
      </w:r>
      <w:r>
        <w:rPr>
          <w:rFonts w:ascii="黑体" w:hAnsi="黑体" w:eastAsia="黑体" w:cs="Times New Roman"/>
          <w:kern w:val="0"/>
          <w:szCs w:val="32"/>
        </w:rPr>
        <w:t xml:space="preserve"> </w:t>
      </w:r>
      <w:r>
        <w:rPr>
          <w:rFonts w:hint="eastAsia" w:ascii="黑体" w:hAnsi="黑体" w:eastAsia="黑体" w:cs="Times New Roman"/>
          <w:kern w:val="0"/>
          <w:szCs w:val="32"/>
        </w:rPr>
        <w:t>项目经费管理及项目实施</w:t>
      </w:r>
    </w:p>
    <w:p w14:paraId="3A04E31E">
      <w:pPr>
        <w:ind w:firstLine="624" w:firstLineChars="200"/>
        <w:jc w:val="both"/>
        <w:rPr>
          <w:rFonts w:cs="Times New Roman"/>
          <w:kern w:val="0"/>
          <w:szCs w:val="32"/>
        </w:rPr>
      </w:pPr>
      <w:r>
        <w:rPr>
          <w:rFonts w:hint="eastAsia" w:cs="Times New Roman"/>
          <w:b/>
          <w:kern w:val="0"/>
          <w:szCs w:val="32"/>
        </w:rPr>
        <w:t>第十四条</w:t>
      </w:r>
      <w:r>
        <w:rPr>
          <w:rFonts w:cs="Times New Roman"/>
          <w:kern w:val="0"/>
          <w:szCs w:val="32"/>
        </w:rPr>
        <w:t xml:space="preserve">  </w:t>
      </w:r>
      <w:r>
        <w:rPr>
          <w:rFonts w:hint="eastAsia" w:cs="Times New Roman"/>
          <w:kern w:val="0"/>
          <w:szCs w:val="32"/>
        </w:rPr>
        <w:t>党委办公室根据学校安排，完成文化传承创新项目的预算编制工作。预算编制、经费分配按学校预算管理有关规定执行，具体程序为：</w:t>
      </w:r>
    </w:p>
    <w:p w14:paraId="709A317D">
      <w:pPr>
        <w:ind w:firstLine="624" w:firstLineChars="200"/>
        <w:jc w:val="both"/>
        <w:rPr>
          <w:rFonts w:cs="Times New Roman"/>
          <w:kern w:val="0"/>
          <w:szCs w:val="32"/>
        </w:rPr>
      </w:pPr>
      <w:r>
        <w:rPr>
          <w:rFonts w:hint="eastAsia" w:cs="Times New Roman"/>
          <w:kern w:val="0"/>
          <w:szCs w:val="32"/>
        </w:rPr>
        <w:t>（一）根据学校当年预算申报通知要求以及分管校领导审定的预算年度文化建设工作目标和任务，经党委办公室主任办公会讨论后申报年度预算，经分管校领导审批同意后，报送发展规划办公室预算管理处审核。</w:t>
      </w:r>
    </w:p>
    <w:p w14:paraId="791D2DFF">
      <w:pPr>
        <w:ind w:firstLine="624" w:firstLineChars="200"/>
        <w:jc w:val="both"/>
        <w:rPr>
          <w:rFonts w:cs="Times New Roman"/>
          <w:kern w:val="0"/>
          <w:szCs w:val="32"/>
        </w:rPr>
      </w:pPr>
      <w:r>
        <w:rPr>
          <w:rFonts w:hint="eastAsia" w:cs="Times New Roman"/>
          <w:kern w:val="0"/>
          <w:szCs w:val="32"/>
        </w:rPr>
        <w:t>（二）党委办公室根据学校“一下”控制数，结合各单位项目实施方案和经费使用计划，经党委办公室内部决策或组织专家评审再次论证后，形成经费分配草案，将项目预算控制数细化下达至立项入库的项目。</w:t>
      </w:r>
    </w:p>
    <w:p w14:paraId="10A60477">
      <w:pPr>
        <w:ind w:firstLine="624" w:firstLineChars="200"/>
        <w:jc w:val="both"/>
        <w:rPr>
          <w:rFonts w:cs="Times New Roman"/>
          <w:kern w:val="0"/>
          <w:szCs w:val="32"/>
        </w:rPr>
      </w:pPr>
      <w:r>
        <w:rPr>
          <w:rFonts w:hint="eastAsia" w:cs="Times New Roman"/>
          <w:kern w:val="0"/>
          <w:szCs w:val="32"/>
        </w:rPr>
        <w:t>（三）项目实施单位根据“一下”控制数细化或调整项目预算，经党委办公室内部决策后，报分管校领导审批同意，形成经费分配方案报发展规划办公室预算管理处审核。</w:t>
      </w:r>
    </w:p>
    <w:p w14:paraId="781EB5A7">
      <w:pPr>
        <w:ind w:firstLine="624" w:firstLineChars="200"/>
        <w:jc w:val="both"/>
        <w:rPr>
          <w:rFonts w:cs="Times New Roman"/>
          <w:kern w:val="0"/>
          <w:szCs w:val="32"/>
        </w:rPr>
      </w:pPr>
      <w:r>
        <w:rPr>
          <w:rFonts w:hint="eastAsia" w:cs="Times New Roman"/>
          <w:kern w:val="0"/>
          <w:szCs w:val="32"/>
        </w:rPr>
        <w:t>（四）学校“二下”批复的预算金额，除需报党委常委会或校长办公会审议决定的项目和受外部政策影响的特殊情况外，党委办公室在经费到位到账后一个月内完成经费分拨工作。</w:t>
      </w:r>
    </w:p>
    <w:p w14:paraId="343A17AE">
      <w:pPr>
        <w:ind w:firstLine="624" w:firstLineChars="200"/>
        <w:jc w:val="both"/>
        <w:rPr>
          <w:rFonts w:cs="Times New Roman"/>
          <w:kern w:val="0"/>
          <w:szCs w:val="32"/>
        </w:rPr>
      </w:pPr>
      <w:r>
        <w:rPr>
          <w:rFonts w:hint="eastAsia" w:cs="Times New Roman"/>
          <w:kern w:val="0"/>
          <w:szCs w:val="32"/>
        </w:rPr>
        <w:t>（五）党委办公室在学校经费分拨完成后10个工作日内通知各项目实施单位开展项目实施，并对项目的实施、预算执行进行指导和监督。</w:t>
      </w:r>
    </w:p>
    <w:p w14:paraId="2367BA18">
      <w:pPr>
        <w:ind w:firstLine="624" w:firstLineChars="200"/>
        <w:jc w:val="both"/>
        <w:rPr>
          <w:rFonts w:cs="Times New Roman"/>
          <w:kern w:val="0"/>
          <w:szCs w:val="32"/>
        </w:rPr>
      </w:pPr>
      <w:r>
        <w:rPr>
          <w:rFonts w:hint="eastAsia" w:cs="Times New Roman"/>
          <w:b/>
          <w:kern w:val="0"/>
          <w:szCs w:val="32"/>
        </w:rPr>
        <w:t>第十五条</w:t>
      </w:r>
      <w:r>
        <w:rPr>
          <w:rFonts w:hint="eastAsia" w:cs="Times New Roman"/>
          <w:kern w:val="0"/>
          <w:szCs w:val="32"/>
        </w:rPr>
        <w:t xml:space="preserve"> </w:t>
      </w:r>
      <w:r>
        <w:rPr>
          <w:rFonts w:cs="Times New Roman"/>
          <w:kern w:val="0"/>
          <w:szCs w:val="32"/>
        </w:rPr>
        <w:t xml:space="preserve"> </w:t>
      </w:r>
      <w:r>
        <w:rPr>
          <w:rFonts w:hint="eastAsia" w:cs="Times New Roman"/>
          <w:kern w:val="0"/>
          <w:szCs w:val="32"/>
        </w:rPr>
        <w:t>文化传承创新</w:t>
      </w:r>
      <w:r>
        <w:rPr>
          <w:rFonts w:cs="Times New Roman"/>
          <w:kern w:val="0"/>
          <w:szCs w:val="32"/>
        </w:rPr>
        <w:t>项目</w:t>
      </w:r>
      <w:r>
        <w:rPr>
          <w:rFonts w:hint="eastAsia" w:cs="Times New Roman"/>
          <w:kern w:val="0"/>
          <w:szCs w:val="32"/>
        </w:rPr>
        <w:t>经费的开支范围包括：办公费、印刷费、咨询费、手续费、邮电费、差旅费、租赁费、会议费、培训费、专用材料费、劳务费、委托业务费、市内交通费、办公设备购置、专用设备购置、信息网络及软件购置更新、图书购置、文物和陈列品购置、其它商品和服务支出共19项。</w:t>
      </w:r>
    </w:p>
    <w:p w14:paraId="6A53C222">
      <w:pPr>
        <w:ind w:firstLine="624" w:firstLineChars="200"/>
        <w:jc w:val="both"/>
        <w:rPr>
          <w:rFonts w:cs="Times New Roman"/>
          <w:kern w:val="0"/>
          <w:szCs w:val="32"/>
        </w:rPr>
      </w:pPr>
      <w:r>
        <w:rPr>
          <w:rFonts w:hint="eastAsia" w:cs="Times New Roman"/>
          <w:kern w:val="0"/>
          <w:szCs w:val="32"/>
        </w:rPr>
        <w:t>其中，办公费不得列支日常办公加班餐费；差旅费仅支持国内差旅费、境内专家来访旅费、境外专家来访旅费；培训费不得列支赴外地培训、出国（境）培训费用；专用材料费仅限开展文化建设相关活动必须支出的如学术竞赛类活动实验实习类用品，学生活动及教工活动文体用品，校园环境文化建设如景观石等专用特殊材料费用；劳务费仅限临时聘用学生、退休人员或校外人员开展如史料搜集与整理、活动策划指导、撰稿、翻译、评审等文化建设相关工作所产生的劳务报酬支出，劳务费开支比例不高于项目经费总金额的10%；其它商品和服务支出仅允许开支外籍专家费（境外专家来访餐费、咨询费等，按照外宾接待相关规定开支）、学生活动费、其它（以上费用类别未能涵盖，为完成建设任务必须开支的其它公用支出）。</w:t>
      </w:r>
    </w:p>
    <w:p w14:paraId="394FD564">
      <w:pPr>
        <w:ind w:firstLine="624" w:firstLineChars="200"/>
        <w:rPr>
          <w:rFonts w:cs="Times New Roman"/>
          <w:kern w:val="0"/>
          <w:szCs w:val="32"/>
        </w:rPr>
      </w:pPr>
      <w:r>
        <w:rPr>
          <w:rFonts w:hint="eastAsia" w:cs="Times New Roman"/>
          <w:kern w:val="0"/>
          <w:szCs w:val="32"/>
        </w:rPr>
        <w:t>专用材料费、办公设备购置、专用设备购置、信息网络及软件购置更新、图书购置、文物和陈列品购置以及其它商品和服务支出中的“其它”类别，需根据本细则第十六条另行申报。</w:t>
      </w:r>
    </w:p>
    <w:p w14:paraId="53D082B3">
      <w:pPr>
        <w:ind w:firstLine="624" w:firstLineChars="200"/>
        <w:jc w:val="both"/>
        <w:rPr>
          <w:rFonts w:cs="Times New Roman"/>
          <w:kern w:val="0"/>
          <w:szCs w:val="32"/>
        </w:rPr>
      </w:pPr>
      <w:r>
        <w:rPr>
          <w:rFonts w:hint="eastAsia" w:cs="Times New Roman"/>
          <w:b/>
          <w:kern w:val="0"/>
          <w:szCs w:val="32"/>
        </w:rPr>
        <w:t>第十六条</w:t>
      </w:r>
      <w:r>
        <w:rPr>
          <w:rFonts w:hint="eastAsia" w:cs="Times New Roman"/>
          <w:kern w:val="0"/>
          <w:szCs w:val="32"/>
        </w:rPr>
        <w:t xml:space="preserve"> </w:t>
      </w:r>
      <w:r>
        <w:rPr>
          <w:rFonts w:cs="Times New Roman"/>
          <w:kern w:val="0"/>
          <w:szCs w:val="32"/>
        </w:rPr>
        <w:t xml:space="preserve"> </w:t>
      </w:r>
      <w:r>
        <w:rPr>
          <w:rFonts w:hint="eastAsia" w:cs="Times New Roman"/>
          <w:kern w:val="0"/>
          <w:szCs w:val="32"/>
        </w:rPr>
        <w:t>项目开展过程中发生的除上述费用之外的其它支出以及按第十五条规定需另行申报的支出，应在项目申报入库时单独列出，除提供项目申报书、预算明细等立项申请资料外，需另行提供情况说明书详细说明开支范围以外的其它费用支出理由，根据本细则第三章项目入库有关规定审核立项入库后方可开支。</w:t>
      </w:r>
    </w:p>
    <w:p w14:paraId="78C1A108">
      <w:pPr>
        <w:ind w:firstLine="624" w:firstLineChars="200"/>
        <w:jc w:val="both"/>
        <w:rPr>
          <w:rFonts w:cs="Times New Roman"/>
          <w:kern w:val="0"/>
          <w:szCs w:val="32"/>
        </w:rPr>
      </w:pPr>
      <w:r>
        <w:rPr>
          <w:rFonts w:hint="eastAsia" w:cs="Times New Roman"/>
          <w:b/>
          <w:kern w:val="0"/>
          <w:szCs w:val="32"/>
        </w:rPr>
        <w:t xml:space="preserve">第十七条 </w:t>
      </w:r>
      <w:r>
        <w:rPr>
          <w:rFonts w:cs="Times New Roman"/>
          <w:kern w:val="0"/>
          <w:szCs w:val="32"/>
        </w:rPr>
        <w:t xml:space="preserve"> </w:t>
      </w:r>
      <w:r>
        <w:rPr>
          <w:rFonts w:hint="eastAsia" w:cs="Times New Roman"/>
          <w:kern w:val="0"/>
          <w:szCs w:val="32"/>
        </w:rPr>
        <w:t>文化传承创新项目经费不得用于偿还债务、支付罚款、捐赠、赞助、对外投资等活动；不得开支学生助研津贴、奖助学金（临时聘用的学生劳务费除外）等；不得开支有工资性收入的人员工资、津贴补贴、绩效和福利支出；不得分摊学校公共管理和运行管理费用；不得开支公务接待餐费；不得开支加班餐费；不得开支因公出国（境）费用；不得开支水电费、物业管理费、维护费、房屋租赁费、公务用车运行维护费、房屋建筑购建、基础设施建设、大型修缮等基本建设类费用；不得用于与项目无关的其它开支；不得开支个人费用；不得开支按照国家规定不得列支的其它支出。</w:t>
      </w:r>
    </w:p>
    <w:p w14:paraId="416765D4">
      <w:pPr>
        <w:ind w:firstLine="624" w:firstLineChars="200"/>
        <w:jc w:val="both"/>
        <w:rPr>
          <w:rFonts w:cs="Times New Roman"/>
          <w:kern w:val="0"/>
          <w:szCs w:val="32"/>
        </w:rPr>
      </w:pPr>
      <w:r>
        <w:rPr>
          <w:rFonts w:hint="eastAsia" w:cs="Times New Roman"/>
          <w:b/>
          <w:kern w:val="0"/>
          <w:szCs w:val="32"/>
        </w:rPr>
        <w:t>第十八条</w:t>
      </w:r>
      <w:r>
        <w:rPr>
          <w:rFonts w:cs="Times New Roman"/>
          <w:kern w:val="0"/>
          <w:szCs w:val="32"/>
        </w:rPr>
        <w:t xml:space="preserve">  </w:t>
      </w:r>
      <w:r>
        <w:rPr>
          <w:rFonts w:hint="eastAsia" w:cs="Times New Roman"/>
          <w:kern w:val="0"/>
          <w:szCs w:val="32"/>
        </w:rPr>
        <w:t>经费开支要严格按照国家及学校相关支出标准和支出管理规定执行；各类仪器设备、家具、图书资料、软件和数据库等要按照国家及学校国有资产管理有关程序进行购置、使用和处置，纳入学校资产统一管理；委托业务、采购等过程中，需签订合同的，要严格按照学校相关规定签订合同；需经过招投标程序的，应严格按照招投标程序采购相关商品及服务。</w:t>
      </w:r>
    </w:p>
    <w:p w14:paraId="1854EC76">
      <w:pPr>
        <w:ind w:firstLine="624" w:firstLineChars="200"/>
        <w:jc w:val="both"/>
        <w:rPr>
          <w:rFonts w:cs="Times New Roman"/>
          <w:kern w:val="0"/>
          <w:szCs w:val="32"/>
        </w:rPr>
      </w:pPr>
      <w:r>
        <w:rPr>
          <w:rFonts w:hint="eastAsia" w:cs="Times New Roman"/>
          <w:b/>
          <w:kern w:val="0"/>
          <w:szCs w:val="32"/>
        </w:rPr>
        <w:t>第十九条</w:t>
      </w:r>
      <w:r>
        <w:rPr>
          <w:rFonts w:cs="Times New Roman"/>
          <w:kern w:val="0"/>
          <w:szCs w:val="32"/>
        </w:rPr>
        <w:t xml:space="preserve">  </w:t>
      </w:r>
      <w:r>
        <w:rPr>
          <w:rFonts w:hint="eastAsia" w:cs="Times New Roman"/>
          <w:kern w:val="0"/>
          <w:szCs w:val="32"/>
        </w:rPr>
        <w:t>已立项入库的项目，当年实施项目的预算一般不予调整，后两年在相应年度预算滚动申请时可根据实际情况适当调整预算。在政策或实施条件发生变化时，实行动态调整和退出机制。未经审批，不得擅自调整预算安排。</w:t>
      </w:r>
    </w:p>
    <w:p w14:paraId="11080EA1">
      <w:pPr>
        <w:ind w:firstLine="624" w:firstLineChars="200"/>
        <w:jc w:val="both"/>
        <w:rPr>
          <w:rFonts w:cs="Times New Roman"/>
          <w:kern w:val="0"/>
          <w:szCs w:val="32"/>
        </w:rPr>
      </w:pPr>
      <w:r>
        <w:rPr>
          <w:rFonts w:hint="eastAsia" w:cs="Times New Roman"/>
          <w:b/>
          <w:kern w:val="0"/>
          <w:szCs w:val="32"/>
        </w:rPr>
        <w:t>第二十条</w:t>
      </w:r>
      <w:r>
        <w:rPr>
          <w:rFonts w:cs="Times New Roman"/>
          <w:kern w:val="0"/>
          <w:szCs w:val="32"/>
        </w:rPr>
        <w:t xml:space="preserve">  </w:t>
      </w:r>
      <w:r>
        <w:rPr>
          <w:rFonts w:hint="eastAsia" w:cs="Times New Roman"/>
          <w:kern w:val="0"/>
          <w:szCs w:val="32"/>
        </w:rPr>
        <w:t>当年已安排预算的项目，涉及预算调整的，项目实施单位经内部决策后，于当年9月底之前向党委办公室函报申请和相关材料，说明调整理由、项目和数额。经党委办公室内部决策、分管校领导审批后报发展规划办公室预算管理处，审批程序按照《中山大学预算管理办法》和《中山大学校内预算调剂实施细则》等有关规定执行。当年未安排预算的，按照学校预算调整有关规定执行。</w:t>
      </w:r>
    </w:p>
    <w:p w14:paraId="3770C7E2">
      <w:pPr>
        <w:ind w:firstLine="624" w:firstLineChars="200"/>
        <w:jc w:val="both"/>
        <w:rPr>
          <w:rFonts w:cs="Times New Roman"/>
          <w:kern w:val="0"/>
          <w:szCs w:val="32"/>
        </w:rPr>
      </w:pPr>
      <w:r>
        <w:rPr>
          <w:rFonts w:hint="eastAsia" w:cs="Times New Roman"/>
          <w:b/>
          <w:kern w:val="0"/>
          <w:szCs w:val="32"/>
        </w:rPr>
        <w:t>第二十一条</w:t>
      </w:r>
      <w:r>
        <w:rPr>
          <w:rFonts w:cs="Times New Roman"/>
          <w:kern w:val="0"/>
          <w:szCs w:val="32"/>
        </w:rPr>
        <w:t xml:space="preserve">  </w:t>
      </w:r>
      <w:r>
        <w:rPr>
          <w:rFonts w:hint="eastAsia" w:cs="Times New Roman"/>
          <w:kern w:val="0"/>
          <w:szCs w:val="32"/>
        </w:rPr>
        <w:t>学校批复的预算经费，应在预算年度内执行完毕，年末如有结余，由学校收回。需结转下年按原用途继续使用的，项目实施单位应按照有关规定及时向党委办公室报送申请材料，经党委办公室内部决策、分管校领导审批后报发展规划办公室预算管理处。</w:t>
      </w:r>
    </w:p>
    <w:p w14:paraId="0FBD1E7D">
      <w:pPr>
        <w:ind w:firstLine="624" w:firstLineChars="200"/>
        <w:jc w:val="both"/>
        <w:rPr>
          <w:rFonts w:cs="Times New Roman"/>
          <w:kern w:val="0"/>
          <w:szCs w:val="32"/>
        </w:rPr>
      </w:pPr>
      <w:r>
        <w:rPr>
          <w:rFonts w:hint="eastAsia" w:cs="Times New Roman"/>
          <w:b/>
          <w:kern w:val="0"/>
          <w:szCs w:val="32"/>
        </w:rPr>
        <w:t>第二十二条</w:t>
      </w:r>
      <w:r>
        <w:rPr>
          <w:rFonts w:cs="Times New Roman"/>
          <w:kern w:val="0"/>
          <w:szCs w:val="32"/>
        </w:rPr>
        <w:t xml:space="preserve">  </w:t>
      </w:r>
      <w:r>
        <w:rPr>
          <w:rFonts w:hint="eastAsia" w:cs="Times New Roman"/>
          <w:kern w:val="0"/>
          <w:szCs w:val="32"/>
        </w:rPr>
        <w:t>预算下达后，各项目实施单位应尽快推进项目执行。对于中央财政专项资金安排的项目，9月30日前执行率要求达到100%；地方财政专项资金安排的项目，10月30日前执行率要求达到100%。对于可结转的专项，执行率也应达到95%。非中央财政专项资金安排的项目，项目经费执行进度应在6月底达到5</w:t>
      </w:r>
      <w:r>
        <w:rPr>
          <w:rFonts w:cs="Times New Roman"/>
          <w:kern w:val="0"/>
          <w:szCs w:val="32"/>
        </w:rPr>
        <w:t>5</w:t>
      </w:r>
      <w:r>
        <w:rPr>
          <w:rFonts w:hint="eastAsia" w:cs="Times New Roman"/>
          <w:kern w:val="0"/>
          <w:szCs w:val="32"/>
        </w:rPr>
        <w:t>%，9月底应达到8</w:t>
      </w:r>
      <w:r>
        <w:rPr>
          <w:rFonts w:cs="Times New Roman"/>
          <w:kern w:val="0"/>
          <w:szCs w:val="32"/>
        </w:rPr>
        <w:t>2</w:t>
      </w:r>
      <w:r>
        <w:rPr>
          <w:rFonts w:hint="eastAsia" w:cs="Times New Roman"/>
          <w:kern w:val="0"/>
          <w:szCs w:val="32"/>
        </w:rPr>
        <w:t>%，1</w:t>
      </w:r>
      <w:r>
        <w:rPr>
          <w:rFonts w:cs="Times New Roman"/>
          <w:kern w:val="0"/>
          <w:szCs w:val="32"/>
        </w:rPr>
        <w:t>1</w:t>
      </w:r>
      <w:r>
        <w:rPr>
          <w:rFonts w:hint="eastAsia" w:cs="Times New Roman"/>
          <w:kern w:val="0"/>
          <w:szCs w:val="32"/>
        </w:rPr>
        <w:t>月底应全部执行完毕。对预算执行进度慢，未达到绩效目标的单位，党委</w:t>
      </w:r>
      <w:r>
        <w:rPr>
          <w:rFonts w:cs="Times New Roman"/>
          <w:kern w:val="0"/>
          <w:szCs w:val="32"/>
        </w:rPr>
        <w:t>办公室</w:t>
      </w:r>
      <w:r>
        <w:rPr>
          <w:rFonts w:hint="eastAsia" w:cs="Times New Roman"/>
          <w:kern w:val="0"/>
          <w:szCs w:val="32"/>
        </w:rPr>
        <w:t>可采取约谈、通报批评等方式问责，并可视情况对资金安排进行动态调整或调剂，相关程序按照《中山大学预算管理办法》《中山大学校内预算调剂实施细则》执行。</w:t>
      </w:r>
    </w:p>
    <w:p w14:paraId="365378A6">
      <w:pPr>
        <w:ind w:firstLine="624" w:firstLineChars="200"/>
        <w:jc w:val="both"/>
        <w:rPr>
          <w:rFonts w:cs="Times New Roman"/>
          <w:kern w:val="0"/>
          <w:szCs w:val="32"/>
        </w:rPr>
      </w:pPr>
    </w:p>
    <w:p w14:paraId="0713EBA9">
      <w:pPr>
        <w:jc w:val="center"/>
        <w:rPr>
          <w:rFonts w:ascii="黑体" w:hAnsi="黑体" w:eastAsia="黑体" w:cs="Times New Roman"/>
          <w:kern w:val="0"/>
          <w:szCs w:val="32"/>
        </w:rPr>
      </w:pPr>
      <w:r>
        <w:rPr>
          <w:rFonts w:hint="eastAsia" w:ascii="黑体" w:hAnsi="黑体" w:eastAsia="黑体" w:cs="Times New Roman"/>
          <w:kern w:val="0"/>
          <w:szCs w:val="32"/>
        </w:rPr>
        <w:t xml:space="preserve">第五章 </w:t>
      </w:r>
      <w:r>
        <w:rPr>
          <w:rFonts w:ascii="黑体" w:hAnsi="黑体" w:eastAsia="黑体" w:cs="Times New Roman"/>
          <w:kern w:val="0"/>
          <w:szCs w:val="32"/>
        </w:rPr>
        <w:t xml:space="preserve"> </w:t>
      </w:r>
      <w:r>
        <w:rPr>
          <w:rFonts w:hint="eastAsia" w:ascii="黑体" w:hAnsi="黑体" w:eastAsia="黑体" w:cs="Times New Roman"/>
          <w:kern w:val="0"/>
          <w:szCs w:val="32"/>
        </w:rPr>
        <w:t>考核与监督</w:t>
      </w:r>
    </w:p>
    <w:p w14:paraId="0BA572DD">
      <w:pPr>
        <w:ind w:firstLine="624" w:firstLineChars="200"/>
        <w:jc w:val="both"/>
        <w:rPr>
          <w:rFonts w:cs="Times New Roman"/>
          <w:kern w:val="0"/>
          <w:szCs w:val="32"/>
        </w:rPr>
      </w:pPr>
      <w:r>
        <w:rPr>
          <w:rFonts w:hint="eastAsia" w:cs="Times New Roman"/>
          <w:b/>
          <w:kern w:val="0"/>
          <w:szCs w:val="32"/>
        </w:rPr>
        <w:t>第二十三条</w:t>
      </w:r>
      <w:r>
        <w:rPr>
          <w:rFonts w:cs="Times New Roman"/>
          <w:kern w:val="0"/>
          <w:szCs w:val="32"/>
        </w:rPr>
        <w:t xml:space="preserve">  </w:t>
      </w:r>
      <w:r>
        <w:rPr>
          <w:rFonts w:hint="eastAsia" w:cs="Times New Roman"/>
          <w:kern w:val="0"/>
          <w:szCs w:val="32"/>
        </w:rPr>
        <w:t>为确保项目实施进度和预算执行进度，党委办公室将每年实施不少于三轮督办，确保各项目资金在预算年度内执行完毕，并达到序时进度的要求。</w:t>
      </w:r>
    </w:p>
    <w:p w14:paraId="37FE2314">
      <w:pPr>
        <w:ind w:firstLine="624" w:firstLineChars="200"/>
        <w:jc w:val="both"/>
        <w:rPr>
          <w:rFonts w:cs="Times New Roman"/>
          <w:kern w:val="0"/>
          <w:szCs w:val="32"/>
        </w:rPr>
      </w:pPr>
      <w:r>
        <w:rPr>
          <w:rFonts w:hint="eastAsia" w:cs="Times New Roman"/>
          <w:b/>
          <w:kern w:val="0"/>
          <w:szCs w:val="32"/>
        </w:rPr>
        <w:t>第二十四条</w:t>
      </w:r>
      <w:r>
        <w:rPr>
          <w:rFonts w:cs="Times New Roman"/>
          <w:kern w:val="0"/>
          <w:szCs w:val="32"/>
        </w:rPr>
        <w:t xml:space="preserve">  </w:t>
      </w:r>
      <w:r>
        <w:rPr>
          <w:rFonts w:hint="eastAsia" w:cs="Times New Roman"/>
          <w:kern w:val="0"/>
          <w:szCs w:val="32"/>
        </w:rPr>
        <w:t>党委办公室于次年1月组织开展考核评估，程序为：</w:t>
      </w:r>
    </w:p>
    <w:p w14:paraId="766877EC">
      <w:pPr>
        <w:ind w:firstLine="624" w:firstLineChars="200"/>
        <w:jc w:val="both"/>
        <w:rPr>
          <w:rFonts w:cs="Times New Roman"/>
          <w:kern w:val="0"/>
          <w:szCs w:val="32"/>
        </w:rPr>
      </w:pPr>
      <w:r>
        <w:rPr>
          <w:rFonts w:hint="eastAsia" w:cs="Times New Roman"/>
          <w:kern w:val="0"/>
          <w:szCs w:val="32"/>
        </w:rPr>
        <w:t>（一）党委办公室发布通知，明确考核评估的工作程序和具体要求；</w:t>
      </w:r>
    </w:p>
    <w:p w14:paraId="472FA6A8">
      <w:pPr>
        <w:ind w:firstLine="624" w:firstLineChars="200"/>
        <w:jc w:val="both"/>
        <w:rPr>
          <w:rFonts w:cs="Times New Roman"/>
          <w:kern w:val="0"/>
          <w:szCs w:val="32"/>
        </w:rPr>
      </w:pPr>
      <w:r>
        <w:rPr>
          <w:rFonts w:hint="eastAsia" w:cs="Times New Roman"/>
          <w:kern w:val="0"/>
          <w:szCs w:val="32"/>
        </w:rPr>
        <w:t>（二）各项目实施单位对项目建设情况、绩效目标完成情况及经费执行情况等进行自评，向党委办公室提交项目建设自评报告、绩效自评结果和相关材料。</w:t>
      </w:r>
    </w:p>
    <w:p w14:paraId="27350B06">
      <w:pPr>
        <w:ind w:firstLine="624" w:firstLineChars="200"/>
        <w:jc w:val="both"/>
        <w:rPr>
          <w:rFonts w:cs="Times New Roman"/>
          <w:kern w:val="0"/>
          <w:szCs w:val="32"/>
        </w:rPr>
      </w:pPr>
      <w:r>
        <w:rPr>
          <w:rFonts w:hint="eastAsia" w:cs="Times New Roman"/>
          <w:kern w:val="0"/>
          <w:szCs w:val="32"/>
        </w:rPr>
        <w:t>（三）党委办公室对各项目实施单位提交的材料进行审核，并可采取现场走访、数据核实、满意度调查、第三方中介机构外部评价等方式进行检查和抽查。</w:t>
      </w:r>
    </w:p>
    <w:p w14:paraId="7BDE3419">
      <w:pPr>
        <w:ind w:firstLine="624" w:firstLineChars="200"/>
        <w:jc w:val="both"/>
        <w:rPr>
          <w:rFonts w:cs="Times New Roman"/>
          <w:kern w:val="0"/>
          <w:szCs w:val="32"/>
        </w:rPr>
      </w:pPr>
      <w:r>
        <w:rPr>
          <w:rFonts w:hint="eastAsia" w:cs="Times New Roman"/>
          <w:kern w:val="0"/>
          <w:szCs w:val="32"/>
        </w:rPr>
        <w:t>（四）党委办公室采用定性评价和定量考核相结合的方式开展绩效评估，定性评价主要考核项目实施效果、影响力、满意度、实施质量、资金管理与使用规范性、合理性等；定量指标主要考核产出成果数量、执行进度等。绩效评估可通过组织专家评审、第三方中介机构外部评价等方式进行，经党委办公室内部决策后形成绩效评价结果，并在一定范围内通报。</w:t>
      </w:r>
    </w:p>
    <w:p w14:paraId="667481D3">
      <w:pPr>
        <w:ind w:firstLine="624" w:firstLineChars="200"/>
        <w:jc w:val="both"/>
        <w:rPr>
          <w:rFonts w:cs="Times New Roman"/>
          <w:kern w:val="0"/>
          <w:szCs w:val="32"/>
        </w:rPr>
      </w:pPr>
      <w:r>
        <w:rPr>
          <w:rFonts w:hint="eastAsia" w:cs="Times New Roman"/>
          <w:b/>
          <w:kern w:val="0"/>
          <w:szCs w:val="32"/>
        </w:rPr>
        <w:t>第二十五条</w:t>
      </w:r>
      <w:r>
        <w:rPr>
          <w:rFonts w:cs="Times New Roman"/>
          <w:kern w:val="0"/>
          <w:szCs w:val="32"/>
        </w:rPr>
        <w:t xml:space="preserve">  </w:t>
      </w:r>
      <w:r>
        <w:rPr>
          <w:rFonts w:hint="eastAsia" w:cs="Times New Roman"/>
          <w:kern w:val="0"/>
          <w:szCs w:val="32"/>
        </w:rPr>
        <w:t>绩效评价结果分为优秀、合格、不合格三个等级，其中优秀的比例不超过总项目数的1/3。</w:t>
      </w:r>
      <w:r>
        <w:rPr>
          <w:rFonts w:cs="Times New Roman"/>
          <w:kern w:val="0"/>
          <w:szCs w:val="32"/>
        </w:rPr>
        <w:t>绩效评价结果将作为</w:t>
      </w:r>
      <w:r>
        <w:rPr>
          <w:rFonts w:hint="eastAsia" w:cs="Times New Roman"/>
          <w:kern w:val="0"/>
          <w:szCs w:val="32"/>
        </w:rPr>
        <w:t>项目实施单位年度绩效评价及以后</w:t>
      </w:r>
      <w:r>
        <w:rPr>
          <w:rFonts w:cs="Times New Roman"/>
          <w:kern w:val="0"/>
          <w:szCs w:val="32"/>
        </w:rPr>
        <w:t>年度预算安排的重要参考依据</w:t>
      </w:r>
      <w:r>
        <w:rPr>
          <w:rFonts w:hint="eastAsia" w:cs="Times New Roman"/>
          <w:kern w:val="0"/>
          <w:szCs w:val="32"/>
        </w:rPr>
        <w:t>。</w:t>
      </w:r>
      <w:r>
        <w:rPr>
          <w:rFonts w:cs="Times New Roman"/>
          <w:kern w:val="0"/>
          <w:szCs w:val="32"/>
        </w:rPr>
        <w:t xml:space="preserve">                       </w:t>
      </w:r>
    </w:p>
    <w:p w14:paraId="62DC10A7">
      <w:pPr>
        <w:ind w:firstLine="624" w:firstLineChars="200"/>
        <w:jc w:val="both"/>
        <w:rPr>
          <w:rFonts w:cs="Times New Roman"/>
          <w:kern w:val="0"/>
          <w:szCs w:val="32"/>
        </w:rPr>
      </w:pPr>
      <w:r>
        <w:rPr>
          <w:rFonts w:hint="eastAsia" w:cs="Times New Roman"/>
          <w:b/>
          <w:kern w:val="0"/>
          <w:szCs w:val="32"/>
        </w:rPr>
        <w:t>第二十六条</w:t>
      </w:r>
      <w:r>
        <w:rPr>
          <w:rFonts w:cs="Times New Roman"/>
          <w:kern w:val="0"/>
          <w:szCs w:val="32"/>
        </w:rPr>
        <w:t xml:space="preserve">  </w:t>
      </w:r>
      <w:r>
        <w:rPr>
          <w:rFonts w:hint="eastAsia" w:cs="Times New Roman"/>
          <w:kern w:val="0"/>
          <w:szCs w:val="32"/>
        </w:rPr>
        <w:t>党委办公室会同预算、财务部门不定期对项目执行和经费使用进行监督检查。各项目实施单位应自觉接受监督检查，主动、及时、如实提供资料。检查内容主要包括：</w:t>
      </w:r>
    </w:p>
    <w:p w14:paraId="1D544858">
      <w:pPr>
        <w:ind w:left="640"/>
        <w:rPr>
          <w:rFonts w:cs="Times New Roman"/>
          <w:kern w:val="0"/>
          <w:szCs w:val="32"/>
        </w:rPr>
      </w:pPr>
      <w:r>
        <w:rPr>
          <w:rFonts w:hint="eastAsia" w:cs="Times New Roman"/>
          <w:kern w:val="0"/>
          <w:szCs w:val="32"/>
        </w:rPr>
        <w:t>（一）开支范围和开支标准是否符合规定；</w:t>
      </w:r>
    </w:p>
    <w:p w14:paraId="5A9BDE52">
      <w:pPr>
        <w:ind w:left="640"/>
        <w:jc w:val="both"/>
        <w:rPr>
          <w:rFonts w:cs="Times New Roman"/>
          <w:kern w:val="0"/>
          <w:szCs w:val="32"/>
        </w:rPr>
      </w:pPr>
      <w:r>
        <w:rPr>
          <w:rFonts w:hint="eastAsia" w:cs="Times New Roman"/>
          <w:kern w:val="0"/>
          <w:szCs w:val="32"/>
        </w:rPr>
        <w:t>（二）报销和发放是否符合规定；</w:t>
      </w:r>
    </w:p>
    <w:p w14:paraId="16EFF42F">
      <w:pPr>
        <w:ind w:left="640"/>
        <w:jc w:val="both"/>
        <w:rPr>
          <w:rFonts w:cs="Times New Roman"/>
          <w:kern w:val="0"/>
          <w:szCs w:val="32"/>
        </w:rPr>
      </w:pPr>
      <w:r>
        <w:rPr>
          <w:rFonts w:hint="eastAsia" w:cs="Times New Roman"/>
          <w:kern w:val="0"/>
          <w:szCs w:val="32"/>
        </w:rPr>
        <w:t>（三）是否存在虚报、虚列、冒领支出等情况骗取预算资金；</w:t>
      </w:r>
    </w:p>
    <w:p w14:paraId="65B132CC">
      <w:pPr>
        <w:ind w:firstLine="624" w:firstLineChars="200"/>
        <w:jc w:val="both"/>
        <w:rPr>
          <w:rFonts w:cs="Times New Roman"/>
          <w:kern w:val="0"/>
          <w:szCs w:val="32"/>
        </w:rPr>
      </w:pPr>
      <w:r>
        <w:rPr>
          <w:rFonts w:hint="eastAsia" w:cs="Times New Roman"/>
          <w:kern w:val="0"/>
          <w:szCs w:val="32"/>
        </w:rPr>
        <w:t>（四）项目申报、预算调整、调剂、项目终止等是否符合相关程序及要求；</w:t>
      </w:r>
    </w:p>
    <w:p w14:paraId="4B0F8D4C">
      <w:pPr>
        <w:ind w:firstLine="624" w:firstLineChars="200"/>
        <w:jc w:val="both"/>
        <w:rPr>
          <w:rFonts w:cs="Times New Roman"/>
          <w:kern w:val="0"/>
          <w:szCs w:val="32"/>
        </w:rPr>
      </w:pPr>
      <w:r>
        <w:rPr>
          <w:rFonts w:hint="eastAsia" w:cs="Times New Roman"/>
          <w:kern w:val="0"/>
          <w:szCs w:val="32"/>
        </w:rPr>
        <w:t>（五）是否存在违反学校预算管理、财务管理等有关规定的其他行为。</w:t>
      </w:r>
    </w:p>
    <w:p w14:paraId="03D46104">
      <w:pPr>
        <w:ind w:firstLine="690" w:firstLineChars="221"/>
        <w:jc w:val="both"/>
        <w:rPr>
          <w:rFonts w:cs="Times New Roman"/>
          <w:kern w:val="0"/>
          <w:szCs w:val="32"/>
        </w:rPr>
      </w:pPr>
      <w:r>
        <w:rPr>
          <w:rFonts w:hint="eastAsia" w:cs="Times New Roman"/>
          <w:b/>
          <w:kern w:val="0"/>
          <w:szCs w:val="32"/>
        </w:rPr>
        <w:t>第二十七条</w:t>
      </w:r>
      <w:r>
        <w:rPr>
          <w:rFonts w:cs="Times New Roman"/>
          <w:b/>
          <w:kern w:val="0"/>
          <w:szCs w:val="32"/>
        </w:rPr>
        <w:t xml:space="preserve">  </w:t>
      </w:r>
      <w:r>
        <w:rPr>
          <w:rFonts w:hint="eastAsia" w:cs="Times New Roman"/>
          <w:kern w:val="0"/>
          <w:szCs w:val="32"/>
        </w:rPr>
        <w:t>违反本细则规定，有下列行为之一的，依法追究相关单位和人员的责任：</w:t>
      </w:r>
    </w:p>
    <w:p w14:paraId="554E3274">
      <w:pPr>
        <w:ind w:firstLine="624" w:firstLineChars="200"/>
        <w:jc w:val="both"/>
        <w:textAlignment w:val="baseline"/>
        <w:rPr>
          <w:rFonts w:cs="Times New Roman"/>
          <w:kern w:val="0"/>
          <w:szCs w:val="32"/>
        </w:rPr>
      </w:pPr>
      <w:r>
        <w:rPr>
          <w:rFonts w:cs="Times New Roman"/>
          <w:kern w:val="0"/>
          <w:szCs w:val="32"/>
        </w:rPr>
        <w:t>（一）未</w:t>
      </w:r>
      <w:r>
        <w:rPr>
          <w:rFonts w:hint="eastAsia" w:cs="Times New Roman"/>
          <w:kern w:val="0"/>
          <w:szCs w:val="32"/>
        </w:rPr>
        <w:t>及时、全面、准确</w:t>
      </w:r>
      <w:r>
        <w:rPr>
          <w:rFonts w:cs="Times New Roman"/>
          <w:kern w:val="0"/>
          <w:szCs w:val="32"/>
        </w:rPr>
        <w:t>编制、报送</w:t>
      </w:r>
      <w:r>
        <w:rPr>
          <w:rFonts w:hint="eastAsia" w:cs="Times New Roman"/>
          <w:kern w:val="0"/>
          <w:szCs w:val="32"/>
        </w:rPr>
        <w:t>基础数据、</w:t>
      </w:r>
      <w:r>
        <w:rPr>
          <w:rFonts w:cs="Times New Roman"/>
          <w:kern w:val="0"/>
          <w:szCs w:val="32"/>
        </w:rPr>
        <w:t>预算草案、预算调整方案以及下达预算的；</w:t>
      </w:r>
    </w:p>
    <w:p w14:paraId="480252FD">
      <w:pPr>
        <w:ind w:firstLine="624" w:firstLineChars="200"/>
        <w:jc w:val="both"/>
        <w:textAlignment w:val="baseline"/>
        <w:rPr>
          <w:rFonts w:cs="Times New Roman"/>
          <w:kern w:val="0"/>
          <w:szCs w:val="32"/>
        </w:rPr>
      </w:pPr>
      <w:r>
        <w:rPr>
          <w:rFonts w:cs="Times New Roman"/>
          <w:kern w:val="0"/>
          <w:szCs w:val="32"/>
        </w:rPr>
        <w:t>（二）擅自进行预算</w:t>
      </w:r>
      <w:r>
        <w:rPr>
          <w:rFonts w:hint="eastAsia" w:cs="Times New Roman"/>
          <w:kern w:val="0"/>
          <w:szCs w:val="32"/>
        </w:rPr>
        <w:t>调整、调剂</w:t>
      </w:r>
      <w:r>
        <w:rPr>
          <w:rFonts w:cs="Times New Roman"/>
          <w:kern w:val="0"/>
          <w:szCs w:val="32"/>
        </w:rPr>
        <w:t>的；</w:t>
      </w:r>
    </w:p>
    <w:p w14:paraId="5DA6D7A9">
      <w:pPr>
        <w:ind w:firstLine="624" w:firstLineChars="200"/>
        <w:jc w:val="both"/>
        <w:textAlignment w:val="baseline"/>
        <w:rPr>
          <w:rFonts w:cs="Times New Roman"/>
          <w:kern w:val="0"/>
          <w:szCs w:val="32"/>
        </w:rPr>
      </w:pPr>
      <w:r>
        <w:rPr>
          <w:rFonts w:cs="Times New Roman"/>
          <w:kern w:val="0"/>
          <w:szCs w:val="32"/>
        </w:rPr>
        <w:t>（三）擅自改变预算支出用途的；</w:t>
      </w:r>
    </w:p>
    <w:p w14:paraId="5A23B176">
      <w:pPr>
        <w:ind w:firstLine="624" w:firstLineChars="200"/>
        <w:jc w:val="both"/>
        <w:rPr>
          <w:rFonts w:cs="Times New Roman"/>
          <w:kern w:val="0"/>
          <w:szCs w:val="32"/>
        </w:rPr>
      </w:pPr>
      <w:r>
        <w:rPr>
          <w:rFonts w:hint="eastAsia" w:cs="Times New Roman"/>
          <w:kern w:val="0"/>
          <w:szCs w:val="32"/>
        </w:rPr>
        <w:t>（四）擅自扩大经费开支范围或提高开支标准的；</w:t>
      </w:r>
    </w:p>
    <w:p w14:paraId="0052BB49">
      <w:pPr>
        <w:ind w:firstLine="624" w:firstLineChars="200"/>
        <w:jc w:val="both"/>
        <w:rPr>
          <w:rFonts w:cs="Times New Roman"/>
          <w:kern w:val="0"/>
          <w:szCs w:val="32"/>
        </w:rPr>
      </w:pPr>
      <w:r>
        <w:rPr>
          <w:rFonts w:hint="eastAsia" w:cs="Times New Roman"/>
          <w:kern w:val="0"/>
          <w:szCs w:val="32"/>
        </w:rPr>
        <w:t>（五）虚报、冒领、</w:t>
      </w:r>
      <w:r>
        <w:rPr>
          <w:rFonts w:cs="Times New Roman"/>
          <w:kern w:val="0"/>
          <w:szCs w:val="32"/>
        </w:rPr>
        <w:t>截留、挤占、挪用</w:t>
      </w:r>
      <w:r>
        <w:rPr>
          <w:rFonts w:hint="eastAsia" w:cs="Times New Roman"/>
          <w:kern w:val="0"/>
          <w:szCs w:val="32"/>
        </w:rPr>
        <w:t>项目经费的；</w:t>
      </w:r>
    </w:p>
    <w:p w14:paraId="1B889457">
      <w:pPr>
        <w:ind w:firstLine="624" w:firstLineChars="200"/>
        <w:jc w:val="both"/>
        <w:rPr>
          <w:rFonts w:cs="Times New Roman"/>
          <w:kern w:val="0"/>
          <w:szCs w:val="32"/>
        </w:rPr>
      </w:pPr>
      <w:r>
        <w:rPr>
          <w:rFonts w:hint="eastAsia" w:cs="Times New Roman"/>
          <w:kern w:val="0"/>
          <w:szCs w:val="32"/>
        </w:rPr>
        <w:t>（六）</w:t>
      </w:r>
      <w:r>
        <w:rPr>
          <w:rFonts w:cs="Times New Roman"/>
          <w:kern w:val="0"/>
          <w:szCs w:val="32"/>
        </w:rPr>
        <w:t>因管理不善导致资金浪费、资产毁损、效益低下</w:t>
      </w:r>
      <w:r>
        <w:rPr>
          <w:rFonts w:hint="eastAsia" w:cs="Times New Roman"/>
          <w:kern w:val="0"/>
          <w:szCs w:val="32"/>
        </w:rPr>
        <w:t>的；</w:t>
      </w:r>
    </w:p>
    <w:p w14:paraId="197796B3">
      <w:pPr>
        <w:ind w:firstLine="624" w:firstLineChars="200"/>
        <w:jc w:val="both"/>
        <w:rPr>
          <w:rFonts w:cs="Times New Roman"/>
          <w:kern w:val="0"/>
          <w:szCs w:val="32"/>
        </w:rPr>
      </w:pPr>
      <w:r>
        <w:rPr>
          <w:rFonts w:hint="eastAsia" w:cs="Times New Roman"/>
          <w:kern w:val="0"/>
          <w:szCs w:val="32"/>
        </w:rPr>
        <w:t>（七）存在</w:t>
      </w:r>
      <w:r>
        <w:rPr>
          <w:rFonts w:cs="Times New Roman"/>
          <w:kern w:val="0"/>
          <w:szCs w:val="32"/>
        </w:rPr>
        <w:t>滥用职权、玩忽职守、徇私舞弊等违规违纪行为的</w:t>
      </w:r>
      <w:r>
        <w:rPr>
          <w:rFonts w:hint="eastAsia" w:cs="Times New Roman"/>
          <w:kern w:val="0"/>
          <w:szCs w:val="32"/>
        </w:rPr>
        <w:t>；</w:t>
      </w:r>
    </w:p>
    <w:p w14:paraId="64287F5B">
      <w:pPr>
        <w:ind w:firstLine="624" w:firstLineChars="200"/>
        <w:jc w:val="both"/>
        <w:rPr>
          <w:rFonts w:cs="Times New Roman"/>
          <w:kern w:val="0"/>
          <w:szCs w:val="32"/>
        </w:rPr>
      </w:pPr>
      <w:r>
        <w:rPr>
          <w:rFonts w:hint="eastAsia" w:cs="Times New Roman"/>
          <w:kern w:val="0"/>
          <w:szCs w:val="32"/>
        </w:rPr>
        <w:t>（八）拒绝接受学校或上级部门检查，不如实提供资料的；</w:t>
      </w:r>
    </w:p>
    <w:p w14:paraId="323A8ED0">
      <w:pPr>
        <w:ind w:firstLine="624" w:firstLineChars="200"/>
        <w:jc w:val="both"/>
        <w:rPr>
          <w:rFonts w:cs="Times New Roman"/>
          <w:kern w:val="0"/>
          <w:szCs w:val="32"/>
        </w:rPr>
      </w:pPr>
      <w:r>
        <w:rPr>
          <w:rFonts w:hint="eastAsia" w:cs="Times New Roman"/>
          <w:kern w:val="0"/>
          <w:szCs w:val="32"/>
        </w:rPr>
        <w:t>（九）其他违反本细则及国家</w:t>
      </w:r>
      <w:r>
        <w:rPr>
          <w:rFonts w:cs="Times New Roman"/>
          <w:kern w:val="0"/>
          <w:szCs w:val="32"/>
        </w:rPr>
        <w:t>、</w:t>
      </w:r>
      <w:r>
        <w:rPr>
          <w:rFonts w:hint="eastAsia" w:cs="Times New Roman"/>
          <w:kern w:val="0"/>
          <w:szCs w:val="32"/>
        </w:rPr>
        <w:t>学校有关规定的行为。</w:t>
      </w:r>
    </w:p>
    <w:p w14:paraId="28E3797D">
      <w:pPr>
        <w:ind w:firstLine="690" w:firstLineChars="221"/>
        <w:jc w:val="both"/>
        <w:rPr>
          <w:rFonts w:cs="Times New Roman"/>
          <w:kern w:val="0"/>
          <w:szCs w:val="32"/>
        </w:rPr>
      </w:pPr>
      <w:r>
        <w:rPr>
          <w:rFonts w:hint="eastAsia" w:cs="Times New Roman"/>
          <w:b/>
          <w:kern w:val="0"/>
          <w:szCs w:val="32"/>
        </w:rPr>
        <w:t>第二十八条</w:t>
      </w:r>
      <w:r>
        <w:rPr>
          <w:rFonts w:cs="Times New Roman"/>
          <w:kern w:val="0"/>
          <w:szCs w:val="32"/>
        </w:rPr>
        <w:t xml:space="preserve">  </w:t>
      </w:r>
      <w:r>
        <w:rPr>
          <w:rFonts w:hint="eastAsia" w:cs="Times New Roman"/>
          <w:kern w:val="0"/>
          <w:szCs w:val="32"/>
        </w:rPr>
        <w:t>相关</w:t>
      </w:r>
      <w:r>
        <w:rPr>
          <w:rFonts w:cs="Times New Roman"/>
          <w:kern w:val="0"/>
          <w:szCs w:val="32"/>
        </w:rPr>
        <w:t>单位和</w:t>
      </w:r>
      <w:r>
        <w:rPr>
          <w:rFonts w:hint="eastAsia" w:cs="Times New Roman"/>
          <w:kern w:val="0"/>
          <w:szCs w:val="32"/>
        </w:rPr>
        <w:t>人员存在第二十七条所列违规行为的，根据其行为的性质、情节及造成后果的严重程度，可采取以下处理措施：</w:t>
      </w:r>
    </w:p>
    <w:p w14:paraId="43614F1E">
      <w:pPr>
        <w:ind w:firstLine="690" w:firstLineChars="221"/>
        <w:jc w:val="both"/>
        <w:rPr>
          <w:rFonts w:cs="Times New Roman"/>
          <w:kern w:val="0"/>
          <w:szCs w:val="32"/>
        </w:rPr>
      </w:pPr>
      <w:r>
        <w:rPr>
          <w:rFonts w:cs="Times New Roman"/>
          <w:kern w:val="0"/>
          <w:szCs w:val="32"/>
        </w:rPr>
        <w:t>（一）批评教育；</w:t>
      </w:r>
    </w:p>
    <w:p w14:paraId="265C1FF0">
      <w:pPr>
        <w:ind w:firstLine="690" w:firstLineChars="221"/>
        <w:jc w:val="both"/>
        <w:rPr>
          <w:rFonts w:cs="Times New Roman"/>
          <w:kern w:val="0"/>
          <w:szCs w:val="32"/>
        </w:rPr>
      </w:pPr>
      <w:r>
        <w:rPr>
          <w:rFonts w:cs="Times New Roman"/>
          <w:kern w:val="0"/>
          <w:szCs w:val="32"/>
        </w:rPr>
        <w:t>（二）责令作出书面检查；</w:t>
      </w:r>
    </w:p>
    <w:p w14:paraId="0590E117">
      <w:pPr>
        <w:ind w:firstLine="690" w:firstLineChars="221"/>
        <w:jc w:val="both"/>
        <w:rPr>
          <w:rFonts w:cs="Times New Roman"/>
          <w:kern w:val="0"/>
          <w:szCs w:val="32"/>
        </w:rPr>
      </w:pPr>
      <w:r>
        <w:rPr>
          <w:rFonts w:cs="Times New Roman"/>
          <w:kern w:val="0"/>
          <w:szCs w:val="32"/>
        </w:rPr>
        <w:t>（三）在一定范围内通报批评；</w:t>
      </w:r>
    </w:p>
    <w:p w14:paraId="5F45B58B">
      <w:pPr>
        <w:topLinePunct/>
        <w:ind w:firstLine="846" w:firstLineChars="271"/>
        <w:jc w:val="both"/>
        <w:rPr>
          <w:rFonts w:cs="Times New Roman"/>
          <w:kern w:val="0"/>
          <w:szCs w:val="32"/>
        </w:rPr>
      </w:pPr>
      <w:r>
        <w:rPr>
          <w:rFonts w:hint="eastAsia" w:cs="Times New Roman"/>
          <w:kern w:val="0"/>
          <w:szCs w:val="32"/>
        </w:rPr>
        <w:t>（四）纳入学校财务报销失信名单；</w:t>
      </w:r>
    </w:p>
    <w:p w14:paraId="239975C3">
      <w:pPr>
        <w:topLinePunct/>
        <w:ind w:firstLine="846" w:firstLineChars="271"/>
        <w:jc w:val="both"/>
        <w:rPr>
          <w:rFonts w:cs="Times New Roman"/>
          <w:kern w:val="0"/>
          <w:szCs w:val="32"/>
        </w:rPr>
      </w:pPr>
      <w:r>
        <w:rPr>
          <w:rFonts w:cs="Times New Roman"/>
          <w:kern w:val="0"/>
          <w:szCs w:val="32"/>
        </w:rPr>
        <w:t>（</w:t>
      </w:r>
      <w:r>
        <w:rPr>
          <w:rFonts w:hint="eastAsia" w:cs="Times New Roman"/>
          <w:kern w:val="0"/>
          <w:szCs w:val="32"/>
        </w:rPr>
        <w:t>五</w:t>
      </w:r>
      <w:r>
        <w:rPr>
          <w:rFonts w:cs="Times New Roman"/>
          <w:kern w:val="0"/>
          <w:szCs w:val="32"/>
        </w:rPr>
        <w:t>）</w:t>
      </w:r>
      <w:r>
        <w:rPr>
          <w:rFonts w:hint="eastAsia" w:cs="Times New Roman"/>
          <w:kern w:val="0"/>
          <w:szCs w:val="32"/>
        </w:rPr>
        <w:t>由所在单位</w:t>
      </w:r>
      <w:r>
        <w:rPr>
          <w:rFonts w:cs="Times New Roman"/>
          <w:kern w:val="0"/>
          <w:szCs w:val="32"/>
        </w:rPr>
        <w:t>取消</w:t>
      </w:r>
      <w:r>
        <w:rPr>
          <w:rFonts w:hint="eastAsia" w:cs="Times New Roman"/>
          <w:kern w:val="0"/>
          <w:szCs w:val="32"/>
        </w:rPr>
        <w:t>其</w:t>
      </w:r>
      <w:r>
        <w:rPr>
          <w:rFonts w:cs="Times New Roman"/>
          <w:kern w:val="0"/>
          <w:szCs w:val="32"/>
        </w:rPr>
        <w:t>年度评先评优资格；</w:t>
      </w:r>
    </w:p>
    <w:p w14:paraId="2C2E8BA2">
      <w:pPr>
        <w:topLinePunct/>
        <w:ind w:firstLine="846" w:firstLineChars="271"/>
        <w:jc w:val="both"/>
        <w:rPr>
          <w:rFonts w:cs="Times New Roman"/>
          <w:kern w:val="0"/>
          <w:szCs w:val="32"/>
        </w:rPr>
      </w:pPr>
      <w:r>
        <w:rPr>
          <w:rFonts w:cs="Times New Roman"/>
          <w:kern w:val="0"/>
          <w:szCs w:val="32"/>
        </w:rPr>
        <w:t>（</w:t>
      </w:r>
      <w:r>
        <w:rPr>
          <w:rFonts w:hint="eastAsia" w:cs="Times New Roman"/>
          <w:kern w:val="0"/>
          <w:szCs w:val="32"/>
        </w:rPr>
        <w:t>六</w:t>
      </w:r>
      <w:r>
        <w:rPr>
          <w:rFonts w:cs="Times New Roman"/>
          <w:kern w:val="0"/>
          <w:szCs w:val="32"/>
        </w:rPr>
        <w:t>）</w:t>
      </w:r>
      <w:r>
        <w:rPr>
          <w:rFonts w:hint="eastAsia" w:cs="Times New Roman"/>
          <w:kern w:val="0"/>
          <w:szCs w:val="32"/>
        </w:rPr>
        <w:t>由所在单位调</w:t>
      </w:r>
      <w:r>
        <w:rPr>
          <w:rFonts w:cs="Times New Roman"/>
          <w:kern w:val="0"/>
          <w:szCs w:val="32"/>
        </w:rPr>
        <w:t>减</w:t>
      </w:r>
      <w:r>
        <w:rPr>
          <w:rFonts w:hint="eastAsia" w:cs="Times New Roman"/>
          <w:kern w:val="0"/>
          <w:szCs w:val="32"/>
        </w:rPr>
        <w:t>其</w:t>
      </w:r>
      <w:r>
        <w:rPr>
          <w:rFonts w:cs="Times New Roman"/>
          <w:kern w:val="0"/>
          <w:szCs w:val="32"/>
        </w:rPr>
        <w:t>年度奖励性绩效</w:t>
      </w:r>
      <w:r>
        <w:rPr>
          <w:rFonts w:hint="eastAsia" w:cs="Times New Roman"/>
          <w:kern w:val="0"/>
          <w:szCs w:val="32"/>
        </w:rPr>
        <w:t>；</w:t>
      </w:r>
    </w:p>
    <w:p w14:paraId="13F1B7D1">
      <w:pPr>
        <w:topLinePunct/>
        <w:ind w:firstLine="846" w:firstLineChars="271"/>
        <w:jc w:val="both"/>
        <w:rPr>
          <w:rFonts w:cs="Times New Roman"/>
          <w:kern w:val="0"/>
          <w:szCs w:val="32"/>
        </w:rPr>
      </w:pPr>
      <w:r>
        <w:rPr>
          <w:rFonts w:hint="eastAsia" w:cs="Times New Roman"/>
          <w:kern w:val="0"/>
          <w:szCs w:val="32"/>
        </w:rPr>
        <w:t>（七）</w:t>
      </w:r>
      <w:r>
        <w:rPr>
          <w:rFonts w:cs="Times New Roman"/>
          <w:bCs/>
          <w:color w:val="000000"/>
          <w:szCs w:val="32"/>
        </w:rPr>
        <w:t>法律、法规、规章和学校规定的</w:t>
      </w:r>
      <w:r>
        <w:rPr>
          <w:rFonts w:cs="Times New Roman"/>
          <w:color w:val="000000"/>
          <w:szCs w:val="32"/>
        </w:rPr>
        <w:t>其他处理措施。</w:t>
      </w:r>
    </w:p>
    <w:p w14:paraId="59CA7A69">
      <w:pPr>
        <w:topLinePunct/>
        <w:ind w:firstLine="690" w:firstLineChars="221"/>
        <w:jc w:val="both"/>
        <w:rPr>
          <w:rFonts w:cs="Times New Roman"/>
          <w:szCs w:val="32"/>
        </w:rPr>
      </w:pPr>
      <w:r>
        <w:rPr>
          <w:rFonts w:cs="Times New Roman"/>
          <w:szCs w:val="32"/>
        </w:rPr>
        <w:t>以上</w:t>
      </w:r>
      <w:r>
        <w:rPr>
          <w:rFonts w:hint="eastAsia" w:cs="Times New Roman"/>
          <w:szCs w:val="32"/>
        </w:rPr>
        <w:t>各项处理措施</w:t>
      </w:r>
      <w:r>
        <w:rPr>
          <w:rFonts w:cs="Times New Roman"/>
          <w:szCs w:val="32"/>
        </w:rPr>
        <w:t>可以</w:t>
      </w:r>
      <w:r>
        <w:rPr>
          <w:rFonts w:cs="Times New Roman"/>
          <w:bCs/>
          <w:color w:val="000000"/>
          <w:szCs w:val="32"/>
        </w:rPr>
        <w:t>单独或合并</w:t>
      </w:r>
      <w:r>
        <w:rPr>
          <w:rFonts w:hint="eastAsia" w:cs="Times New Roman"/>
          <w:bCs/>
          <w:color w:val="000000"/>
          <w:szCs w:val="32"/>
        </w:rPr>
        <w:t>使用</w:t>
      </w:r>
      <w:r>
        <w:rPr>
          <w:rFonts w:cs="Times New Roman"/>
          <w:szCs w:val="32"/>
        </w:rPr>
        <w:t>，同时</w:t>
      </w:r>
      <w:r>
        <w:rPr>
          <w:rFonts w:hint="eastAsia" w:cs="Times New Roman"/>
          <w:szCs w:val="32"/>
        </w:rPr>
        <w:t>可</w:t>
      </w:r>
      <w:r>
        <w:rPr>
          <w:rFonts w:cs="Times New Roman"/>
          <w:szCs w:val="32"/>
        </w:rPr>
        <w:t>依法责令退还</w:t>
      </w:r>
      <w:r>
        <w:rPr>
          <w:rFonts w:hint="eastAsia" w:cs="Times New Roman"/>
          <w:szCs w:val="32"/>
        </w:rPr>
        <w:t>专项资金</w:t>
      </w:r>
      <w:r>
        <w:rPr>
          <w:rFonts w:cs="Times New Roman"/>
          <w:szCs w:val="32"/>
        </w:rPr>
        <w:t>或承担相应的经济损失。</w:t>
      </w:r>
    </w:p>
    <w:p w14:paraId="1E5868C3">
      <w:pPr>
        <w:ind w:firstLine="690" w:firstLineChars="221"/>
        <w:jc w:val="both"/>
        <w:rPr>
          <w:rFonts w:cs="Times New Roman"/>
          <w:szCs w:val="32"/>
        </w:rPr>
      </w:pPr>
      <w:r>
        <w:rPr>
          <w:rFonts w:cs="Times New Roman"/>
          <w:szCs w:val="32"/>
        </w:rPr>
        <w:t>构成违纪的，</w:t>
      </w:r>
      <w:r>
        <w:rPr>
          <w:rFonts w:hint="eastAsia" w:cs="Times New Roman"/>
          <w:szCs w:val="32"/>
        </w:rPr>
        <w:t>由</w:t>
      </w:r>
      <w:r>
        <w:rPr>
          <w:rFonts w:cs="Times New Roman"/>
          <w:szCs w:val="32"/>
        </w:rPr>
        <w:t>学校依照有关党纪法规</w:t>
      </w:r>
      <w:r>
        <w:rPr>
          <w:rFonts w:hint="eastAsia" w:cs="Times New Roman"/>
          <w:szCs w:val="32"/>
        </w:rPr>
        <w:t>和</w:t>
      </w:r>
      <w:r>
        <w:rPr>
          <w:rFonts w:cs="Times New Roman"/>
          <w:szCs w:val="32"/>
        </w:rPr>
        <w:t>学校规定作出处理；</w:t>
      </w:r>
      <w:r>
        <w:rPr>
          <w:rFonts w:hint="eastAsia" w:cs="Times New Roman"/>
          <w:szCs w:val="32"/>
        </w:rPr>
        <w:t>需要问责</w:t>
      </w:r>
      <w:r>
        <w:rPr>
          <w:rFonts w:cs="Times New Roman"/>
          <w:szCs w:val="32"/>
        </w:rPr>
        <w:t>的，按照有关党纪法规和学校规定对有关部门、单位及其领导人员实行问责；涉嫌</w:t>
      </w:r>
      <w:r>
        <w:rPr>
          <w:rFonts w:hint="eastAsia" w:cs="Times New Roman"/>
          <w:szCs w:val="32"/>
        </w:rPr>
        <w:t>违法</w:t>
      </w:r>
      <w:r>
        <w:rPr>
          <w:rFonts w:cs="Times New Roman"/>
          <w:szCs w:val="32"/>
        </w:rPr>
        <w:t>犯罪的，移送国家有关机关处理。</w:t>
      </w:r>
    </w:p>
    <w:p w14:paraId="309A2027">
      <w:pPr>
        <w:ind w:firstLine="690" w:firstLineChars="221"/>
        <w:jc w:val="both"/>
        <w:rPr>
          <w:rFonts w:cs="Times New Roman"/>
          <w:szCs w:val="32"/>
        </w:rPr>
      </w:pPr>
    </w:p>
    <w:p w14:paraId="7FCDE72D">
      <w:pPr>
        <w:jc w:val="center"/>
        <w:rPr>
          <w:rFonts w:ascii="黑体" w:hAnsi="黑体" w:eastAsia="黑体" w:cs="Times New Roman"/>
          <w:kern w:val="0"/>
          <w:szCs w:val="32"/>
        </w:rPr>
      </w:pPr>
      <w:r>
        <w:rPr>
          <w:rFonts w:hint="eastAsia" w:ascii="黑体" w:hAnsi="黑体" w:eastAsia="黑体" w:cs="Times New Roman"/>
          <w:kern w:val="0"/>
          <w:szCs w:val="32"/>
        </w:rPr>
        <w:t xml:space="preserve">第六章 </w:t>
      </w:r>
      <w:r>
        <w:rPr>
          <w:rFonts w:ascii="黑体" w:hAnsi="黑体" w:eastAsia="黑体" w:cs="Times New Roman"/>
          <w:kern w:val="0"/>
          <w:szCs w:val="32"/>
        </w:rPr>
        <w:t xml:space="preserve"> </w:t>
      </w:r>
      <w:r>
        <w:rPr>
          <w:rFonts w:hint="eastAsia" w:ascii="黑体" w:hAnsi="黑体" w:eastAsia="黑体" w:cs="Times New Roman"/>
          <w:kern w:val="0"/>
          <w:szCs w:val="32"/>
        </w:rPr>
        <w:t>附则</w:t>
      </w:r>
    </w:p>
    <w:p w14:paraId="3DBD26D9">
      <w:pPr>
        <w:ind w:firstLine="624" w:firstLineChars="200"/>
        <w:jc w:val="both"/>
        <w:rPr>
          <w:rFonts w:cs="Times New Roman"/>
          <w:kern w:val="0"/>
          <w:szCs w:val="32"/>
        </w:rPr>
      </w:pPr>
      <w:r>
        <w:rPr>
          <w:rFonts w:hint="eastAsia" w:cs="Times New Roman"/>
          <w:b/>
          <w:kern w:val="0"/>
          <w:szCs w:val="32"/>
        </w:rPr>
        <w:t>第二十九条</w:t>
      </w:r>
      <w:r>
        <w:rPr>
          <w:rFonts w:cs="Times New Roman"/>
          <w:kern w:val="0"/>
          <w:szCs w:val="32"/>
        </w:rPr>
        <w:t xml:space="preserve">  本</w:t>
      </w:r>
      <w:r>
        <w:rPr>
          <w:rFonts w:hint="eastAsia" w:cs="Times New Roman"/>
          <w:kern w:val="0"/>
          <w:szCs w:val="32"/>
        </w:rPr>
        <w:t>细则</w:t>
      </w:r>
      <w:r>
        <w:rPr>
          <w:rFonts w:cs="Times New Roman"/>
          <w:kern w:val="0"/>
          <w:szCs w:val="32"/>
        </w:rPr>
        <w:t>经202</w:t>
      </w:r>
      <w:r>
        <w:rPr>
          <w:rFonts w:hint="eastAsia" w:cs="Times New Roman"/>
          <w:kern w:val="0"/>
          <w:szCs w:val="32"/>
        </w:rPr>
        <w:t>1</w:t>
      </w:r>
      <w:r>
        <w:rPr>
          <w:rFonts w:cs="Times New Roman"/>
          <w:kern w:val="0"/>
          <w:szCs w:val="32"/>
        </w:rPr>
        <w:t>年第</w:t>
      </w:r>
      <w:r>
        <w:rPr>
          <w:rFonts w:hint="eastAsia" w:cs="Times New Roman"/>
          <w:kern w:val="0"/>
          <w:szCs w:val="32"/>
        </w:rPr>
        <w:t>11</w:t>
      </w:r>
      <w:r>
        <w:rPr>
          <w:rFonts w:cs="Times New Roman"/>
          <w:kern w:val="0"/>
          <w:szCs w:val="32"/>
        </w:rPr>
        <w:t>次</w:t>
      </w:r>
      <w:r>
        <w:rPr>
          <w:rFonts w:hint="eastAsia" w:cs="Times New Roman"/>
          <w:kern w:val="0"/>
          <w:szCs w:val="32"/>
        </w:rPr>
        <w:t>常委会</w:t>
      </w:r>
      <w:r>
        <w:rPr>
          <w:rFonts w:cs="Times New Roman"/>
          <w:kern w:val="0"/>
          <w:szCs w:val="32"/>
        </w:rPr>
        <w:t>审议通过，自2021年</w:t>
      </w:r>
      <w:r>
        <w:rPr>
          <w:rFonts w:hint="eastAsia" w:cs="Times New Roman"/>
          <w:kern w:val="0"/>
          <w:szCs w:val="32"/>
        </w:rPr>
        <w:t>6</w:t>
      </w:r>
      <w:r>
        <w:rPr>
          <w:rFonts w:cs="Times New Roman"/>
          <w:kern w:val="0"/>
          <w:szCs w:val="32"/>
        </w:rPr>
        <w:t>月</w:t>
      </w:r>
      <w:r>
        <w:rPr>
          <w:rFonts w:hint="eastAsia" w:cs="Times New Roman"/>
          <w:kern w:val="0"/>
          <w:szCs w:val="32"/>
        </w:rPr>
        <w:t>4</w:t>
      </w:r>
      <w:r>
        <w:rPr>
          <w:rFonts w:cs="Times New Roman"/>
          <w:kern w:val="0"/>
          <w:szCs w:val="32"/>
        </w:rPr>
        <w:t>日起施行。</w:t>
      </w:r>
    </w:p>
    <w:p w14:paraId="65179656">
      <w:pPr>
        <w:ind w:firstLine="624" w:firstLineChars="200"/>
        <w:jc w:val="both"/>
        <w:rPr>
          <w:rFonts w:cs="Times New Roman"/>
          <w:kern w:val="0"/>
          <w:szCs w:val="32"/>
        </w:rPr>
      </w:pPr>
      <w:r>
        <w:rPr>
          <w:rFonts w:hint="eastAsia" w:cs="Times New Roman"/>
          <w:b/>
          <w:kern w:val="0"/>
          <w:szCs w:val="32"/>
        </w:rPr>
        <w:t>第三十条</w:t>
      </w:r>
      <w:r>
        <w:rPr>
          <w:rFonts w:cs="Times New Roman"/>
          <w:kern w:val="0"/>
          <w:szCs w:val="32"/>
        </w:rPr>
        <w:t xml:space="preserve">  本</w:t>
      </w:r>
      <w:r>
        <w:rPr>
          <w:rFonts w:hint="eastAsia" w:cs="Times New Roman"/>
          <w:kern w:val="0"/>
          <w:szCs w:val="32"/>
        </w:rPr>
        <w:t>细则</w:t>
      </w:r>
      <w:r>
        <w:rPr>
          <w:rFonts w:cs="Times New Roman"/>
          <w:kern w:val="0"/>
          <w:szCs w:val="32"/>
        </w:rPr>
        <w:t>由</w:t>
      </w:r>
      <w:r>
        <w:rPr>
          <w:rFonts w:hint="eastAsia" w:cs="Times New Roman"/>
          <w:kern w:val="0"/>
          <w:szCs w:val="32"/>
        </w:rPr>
        <w:t>党委</w:t>
      </w:r>
      <w:r>
        <w:rPr>
          <w:rFonts w:cs="Times New Roman"/>
          <w:kern w:val="0"/>
          <w:szCs w:val="32"/>
        </w:rPr>
        <w:t>办公室</w:t>
      </w:r>
      <w:r>
        <w:rPr>
          <w:rFonts w:hint="eastAsia" w:cs="Times New Roman"/>
          <w:kern w:val="0"/>
          <w:szCs w:val="32"/>
        </w:rPr>
        <w:t>负责</w:t>
      </w:r>
      <w:r>
        <w:rPr>
          <w:rFonts w:cs="Times New Roman"/>
          <w:kern w:val="0"/>
          <w:szCs w:val="32"/>
        </w:rPr>
        <w:t>解释。</w:t>
      </w:r>
      <w:r>
        <w:rPr>
          <w:rFonts w:hint="eastAsia" w:cs="Times New Roman"/>
          <w:kern w:val="0"/>
          <w:szCs w:val="32"/>
        </w:rPr>
        <w:t>党委办公室对本办法的落实执行负有主体责任，如本办法执行不力，追究党委办公室及主要负责人相应责任。</w:t>
      </w:r>
    </w:p>
    <w:p w14:paraId="0B2BD9DC">
      <w:pPr>
        <w:rPr>
          <w:rFonts w:cs="Times New Roman"/>
        </w:rPr>
      </w:pPr>
    </w:p>
    <w:p w14:paraId="1FF16DA4">
      <w:pPr>
        <w:ind w:firstLine="630"/>
        <w:jc w:val="both"/>
        <w:rPr>
          <w:rFonts w:eastAsia="方正小标宋简体"/>
          <w:color w:val="000000"/>
          <w:sz w:val="44"/>
          <w:szCs w:val="44"/>
        </w:rPr>
      </w:pPr>
    </w:p>
    <w:p w14:paraId="2F7D4C1B">
      <w:pPr>
        <w:ind w:firstLine="630"/>
        <w:jc w:val="both"/>
        <w:rPr>
          <w:rFonts w:eastAsia="方正小标宋简体"/>
          <w:color w:val="000000"/>
          <w:sz w:val="44"/>
          <w:szCs w:val="44"/>
        </w:rPr>
      </w:pPr>
    </w:p>
    <w:p w14:paraId="54136960">
      <w:pPr>
        <w:jc w:val="both"/>
        <w:rPr>
          <w:rFonts w:cs="Times New Roman"/>
          <w:szCs w:val="32"/>
        </w:rPr>
      </w:pPr>
    </w:p>
    <w:p w14:paraId="30CAC398">
      <w:pPr>
        <w:pBdr>
          <w:top w:val="single" w:color="auto" w:sz="4" w:space="0"/>
          <w:bottom w:val="single" w:color="auto" w:sz="4" w:space="1"/>
          <w:between w:val="single" w:color="auto" w:sz="4" w:space="1"/>
        </w:pBdr>
        <w:ind w:firstLine="272" w:firstLineChars="100"/>
        <w:rPr>
          <w:rFonts w:cs="Times New Roman"/>
        </w:rPr>
      </w:pPr>
      <w:r>
        <w:rPr>
          <w:rFonts w:cs="Times New Roman"/>
          <w:sz w:val="28"/>
          <w:szCs w:val="28"/>
        </w:rPr>
        <w:t>中山大学校长办公室      主动公开         2021年</w:t>
      </w:r>
      <w:r>
        <w:rPr>
          <w:rFonts w:hint="eastAsia" w:cs="Times New Roman"/>
          <w:sz w:val="28"/>
          <w:szCs w:val="28"/>
        </w:rPr>
        <w:t>6</w:t>
      </w:r>
      <w:r>
        <w:rPr>
          <w:rFonts w:cs="Times New Roman"/>
          <w:sz w:val="28"/>
          <w:szCs w:val="28"/>
        </w:rPr>
        <w:t>月1</w:t>
      </w:r>
      <w:r>
        <w:rPr>
          <w:rFonts w:hint="eastAsia" w:cs="Times New Roman"/>
          <w:sz w:val="28"/>
          <w:szCs w:val="28"/>
        </w:rPr>
        <w:t>0</w:t>
      </w:r>
      <w:r>
        <w:rPr>
          <w:rFonts w:cs="Times New Roman"/>
          <w:sz w:val="28"/>
          <w:szCs w:val="28"/>
        </w:rPr>
        <w:t>日印发</w:t>
      </w:r>
      <w:bookmarkEnd w:id="0"/>
      <w:bookmarkEnd w:id="1"/>
    </w:p>
    <w:sectPr>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6E71C25-CF90-404D-8366-A5C1641BDF04}"/>
  </w:font>
  <w:font w:name="Arial">
    <w:panose1 w:val="020B0604020202020204"/>
    <w:charset w:val="01"/>
    <w:family w:val="swiss"/>
    <w:pitch w:val="default"/>
    <w:sig w:usb0="E0002EFF" w:usb1="C000785B" w:usb2="00000009" w:usb3="00000000" w:csb0="400001FF" w:csb1="FFFF0000"/>
    <w:embedRegular r:id="rId2" w:fontKey="{FE5992B1-C53A-4F0B-8317-9713B110F2E6}"/>
  </w:font>
  <w:font w:name="黑体">
    <w:panose1 w:val="02010609060101010101"/>
    <w:charset w:val="86"/>
    <w:family w:val="auto"/>
    <w:pitch w:val="default"/>
    <w:sig w:usb0="800002BF" w:usb1="38CF7CFA" w:usb2="00000016" w:usb3="00000000" w:csb0="00040001" w:csb1="00000000"/>
    <w:embedRegular r:id="rId3" w:fontKey="{B5851969-94B8-4408-AB01-C1BD70AE602B}"/>
  </w:font>
  <w:font w:name="Courier New">
    <w:panose1 w:val="02070309020205020404"/>
    <w:charset w:val="01"/>
    <w:family w:val="modern"/>
    <w:pitch w:val="default"/>
    <w:sig w:usb0="E0002EFF" w:usb1="C0007843" w:usb2="00000009" w:usb3="00000000" w:csb0="400001FF" w:csb1="FFFF0000"/>
    <w:embedRegular r:id="rId4" w:fontKey="{4A0E0B6E-0991-4D27-8F67-4187BA62D068}"/>
  </w:font>
  <w:font w:name="Symbol">
    <w:panose1 w:val="05050102010706020507"/>
    <w:charset w:val="02"/>
    <w:family w:val="roman"/>
    <w:pitch w:val="default"/>
    <w:sig w:usb0="00000000" w:usb1="00000000" w:usb2="00000000" w:usb3="00000000" w:csb0="80000000" w:csb1="00000000"/>
    <w:embedRegular r:id="rId5" w:fontKey="{889AA7BD-EE92-46DA-A04C-6841F3A84773}"/>
  </w:font>
  <w:font w:name="Calibri">
    <w:panose1 w:val="020F0502020204030204"/>
    <w:charset w:val="00"/>
    <w:family w:val="swiss"/>
    <w:pitch w:val="default"/>
    <w:sig w:usb0="E4002EFF" w:usb1="C200247B" w:usb2="00000009" w:usb3="00000000" w:csb0="200001FF" w:csb1="00000000"/>
    <w:embedRegular r:id="rId6" w:fontKey="{925753D9-E084-453B-8623-8ACC220422B0}"/>
  </w:font>
  <w:font w:name="仿宋_GB2312">
    <w:altName w:val="仿宋"/>
    <w:panose1 w:val="02010609030101010101"/>
    <w:charset w:val="86"/>
    <w:family w:val="modern"/>
    <w:pitch w:val="default"/>
    <w:sig w:usb0="00000000" w:usb1="00000000" w:usb2="00000000" w:usb3="00000000" w:csb0="00040000" w:csb1="00000000"/>
  </w:font>
  <w:font w:name="方正小标宋简体">
    <w:panose1 w:val="03000509000000000000"/>
    <w:charset w:val="86"/>
    <w:family w:val="auto"/>
    <w:pitch w:val="default"/>
    <w:sig w:usb0="00000001" w:usb1="080E0000" w:usb2="00000000" w:usb3="00000000" w:csb0="00040000" w:csb1="00000000"/>
    <w:embedRegular r:id="rId7" w:fontKey="{430A4F89-075A-420B-B467-56227DB4484B}"/>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26218989"/>
      <w:docPartObj>
        <w:docPartGallery w:val="autotext"/>
      </w:docPartObj>
    </w:sdtPr>
    <w:sdtEndPr>
      <w:rPr>
        <w:rFonts w:ascii="Times New Roman" w:hAnsi="Times New Roman" w:cs="Times New Roman"/>
        <w:sz w:val="28"/>
        <w:szCs w:val="28"/>
      </w:rPr>
    </w:sdtEndPr>
    <w:sdtContent>
      <w:p w14:paraId="059573EC">
        <w:pPr>
          <w:pStyle w:val="6"/>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11</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17406209"/>
      <w:docPartObj>
        <w:docPartGallery w:val="autotext"/>
      </w:docPartObj>
    </w:sdtPr>
    <w:sdtEndPr>
      <w:rPr>
        <w:rFonts w:ascii="Times New Roman" w:hAnsi="Times New Roman" w:cs="Times New Roman"/>
        <w:sz w:val="28"/>
        <w:szCs w:val="28"/>
      </w:rPr>
    </w:sdtEndPr>
    <w:sdtContent>
      <w:p w14:paraId="1197B48D">
        <w:pPr>
          <w:pStyle w:val="6"/>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12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easance">
    <w15:presenceInfo w15:providerId="WPS Office" w15:userId="3839681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embedTrueTypeFonts/>
  <w:bordersDoNotSurroundHeader w:val="1"/>
  <w:bordersDoNotSurroundFooter w:val="1"/>
  <w:attachedTemplate r:id="rId1"/>
  <w:trackRevisions w:val="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513A"/>
    <w:rsid w:val="00000A1B"/>
    <w:rsid w:val="00000F95"/>
    <w:rsid w:val="000133BA"/>
    <w:rsid w:val="00016CDC"/>
    <w:rsid w:val="00030B15"/>
    <w:rsid w:val="00032809"/>
    <w:rsid w:val="00047A3B"/>
    <w:rsid w:val="000616E9"/>
    <w:rsid w:val="000622F0"/>
    <w:rsid w:val="0007068D"/>
    <w:rsid w:val="00086706"/>
    <w:rsid w:val="00093749"/>
    <w:rsid w:val="000D6A64"/>
    <w:rsid w:val="000E3BC9"/>
    <w:rsid w:val="000E40F2"/>
    <w:rsid w:val="000E65CD"/>
    <w:rsid w:val="000E6B99"/>
    <w:rsid w:val="00102388"/>
    <w:rsid w:val="00104D85"/>
    <w:rsid w:val="0011513A"/>
    <w:rsid w:val="00116D2B"/>
    <w:rsid w:val="00124A24"/>
    <w:rsid w:val="00134325"/>
    <w:rsid w:val="00143300"/>
    <w:rsid w:val="0014608B"/>
    <w:rsid w:val="00160C91"/>
    <w:rsid w:val="00174519"/>
    <w:rsid w:val="00174B4D"/>
    <w:rsid w:val="00176594"/>
    <w:rsid w:val="00180691"/>
    <w:rsid w:val="00184248"/>
    <w:rsid w:val="00192A77"/>
    <w:rsid w:val="001A15AC"/>
    <w:rsid w:val="001A4D7B"/>
    <w:rsid w:val="001B2074"/>
    <w:rsid w:val="001C4193"/>
    <w:rsid w:val="001C6C10"/>
    <w:rsid w:val="001F3755"/>
    <w:rsid w:val="001F44D9"/>
    <w:rsid w:val="00216360"/>
    <w:rsid w:val="00221B66"/>
    <w:rsid w:val="00226537"/>
    <w:rsid w:val="002279DA"/>
    <w:rsid w:val="0023222F"/>
    <w:rsid w:val="00255631"/>
    <w:rsid w:val="00262F8B"/>
    <w:rsid w:val="00265CBA"/>
    <w:rsid w:val="00281380"/>
    <w:rsid w:val="002821EC"/>
    <w:rsid w:val="00292D12"/>
    <w:rsid w:val="00296264"/>
    <w:rsid w:val="002A242F"/>
    <w:rsid w:val="002A2FD5"/>
    <w:rsid w:val="002A307E"/>
    <w:rsid w:val="002D2105"/>
    <w:rsid w:val="002D45F3"/>
    <w:rsid w:val="002E2A09"/>
    <w:rsid w:val="002E7462"/>
    <w:rsid w:val="002F0783"/>
    <w:rsid w:val="002F4E4B"/>
    <w:rsid w:val="0030202D"/>
    <w:rsid w:val="0031040F"/>
    <w:rsid w:val="00310A7F"/>
    <w:rsid w:val="00321B80"/>
    <w:rsid w:val="00327ED9"/>
    <w:rsid w:val="00331FB8"/>
    <w:rsid w:val="00335496"/>
    <w:rsid w:val="0034321E"/>
    <w:rsid w:val="003537DD"/>
    <w:rsid w:val="003539FC"/>
    <w:rsid w:val="00383EF1"/>
    <w:rsid w:val="00387133"/>
    <w:rsid w:val="003A3701"/>
    <w:rsid w:val="003B0F48"/>
    <w:rsid w:val="003B65BF"/>
    <w:rsid w:val="003C1440"/>
    <w:rsid w:val="003C4BE5"/>
    <w:rsid w:val="00445897"/>
    <w:rsid w:val="00452500"/>
    <w:rsid w:val="004547EE"/>
    <w:rsid w:val="00455838"/>
    <w:rsid w:val="00460FAC"/>
    <w:rsid w:val="00465033"/>
    <w:rsid w:val="00470269"/>
    <w:rsid w:val="00471B44"/>
    <w:rsid w:val="0048335A"/>
    <w:rsid w:val="004C2064"/>
    <w:rsid w:val="004C5FBC"/>
    <w:rsid w:val="004E1D9C"/>
    <w:rsid w:val="00521703"/>
    <w:rsid w:val="00522F39"/>
    <w:rsid w:val="0053500C"/>
    <w:rsid w:val="00540F53"/>
    <w:rsid w:val="00543865"/>
    <w:rsid w:val="005453E8"/>
    <w:rsid w:val="00565993"/>
    <w:rsid w:val="00585B64"/>
    <w:rsid w:val="005936C6"/>
    <w:rsid w:val="005A02CB"/>
    <w:rsid w:val="005A5CAB"/>
    <w:rsid w:val="005C23A3"/>
    <w:rsid w:val="005C43DF"/>
    <w:rsid w:val="005E0E1F"/>
    <w:rsid w:val="005F5C56"/>
    <w:rsid w:val="00607E8A"/>
    <w:rsid w:val="00607EDA"/>
    <w:rsid w:val="00622777"/>
    <w:rsid w:val="00625B4F"/>
    <w:rsid w:val="00645B6F"/>
    <w:rsid w:val="00661207"/>
    <w:rsid w:val="00677423"/>
    <w:rsid w:val="00680E17"/>
    <w:rsid w:val="00692C13"/>
    <w:rsid w:val="006A1CAC"/>
    <w:rsid w:val="006A36AC"/>
    <w:rsid w:val="006C5CAD"/>
    <w:rsid w:val="006C767F"/>
    <w:rsid w:val="006E4C82"/>
    <w:rsid w:val="006E51C0"/>
    <w:rsid w:val="00722DE4"/>
    <w:rsid w:val="00726BE5"/>
    <w:rsid w:val="0073066D"/>
    <w:rsid w:val="007317DC"/>
    <w:rsid w:val="00732548"/>
    <w:rsid w:val="00745D45"/>
    <w:rsid w:val="007471C9"/>
    <w:rsid w:val="007619A7"/>
    <w:rsid w:val="007679C2"/>
    <w:rsid w:val="00773C7D"/>
    <w:rsid w:val="00786028"/>
    <w:rsid w:val="007A4C52"/>
    <w:rsid w:val="007B4056"/>
    <w:rsid w:val="007C218D"/>
    <w:rsid w:val="007C3755"/>
    <w:rsid w:val="007D2BC8"/>
    <w:rsid w:val="007E1C2D"/>
    <w:rsid w:val="007F1A60"/>
    <w:rsid w:val="00804651"/>
    <w:rsid w:val="00834F05"/>
    <w:rsid w:val="0085406F"/>
    <w:rsid w:val="0086691F"/>
    <w:rsid w:val="00885C5E"/>
    <w:rsid w:val="00886BF3"/>
    <w:rsid w:val="008A57A9"/>
    <w:rsid w:val="008E07A4"/>
    <w:rsid w:val="008E4466"/>
    <w:rsid w:val="008F004B"/>
    <w:rsid w:val="008F44B5"/>
    <w:rsid w:val="00900508"/>
    <w:rsid w:val="009106E6"/>
    <w:rsid w:val="00913956"/>
    <w:rsid w:val="00923541"/>
    <w:rsid w:val="0092544A"/>
    <w:rsid w:val="0098483E"/>
    <w:rsid w:val="009C7081"/>
    <w:rsid w:val="009E6909"/>
    <w:rsid w:val="009E7A0F"/>
    <w:rsid w:val="009F1418"/>
    <w:rsid w:val="00A06E62"/>
    <w:rsid w:val="00A109D0"/>
    <w:rsid w:val="00A234BF"/>
    <w:rsid w:val="00A31DFA"/>
    <w:rsid w:val="00A4560F"/>
    <w:rsid w:val="00A64785"/>
    <w:rsid w:val="00A75BB9"/>
    <w:rsid w:val="00A87D42"/>
    <w:rsid w:val="00A915EA"/>
    <w:rsid w:val="00AA3EC0"/>
    <w:rsid w:val="00AA5679"/>
    <w:rsid w:val="00AE0D34"/>
    <w:rsid w:val="00AE7AB7"/>
    <w:rsid w:val="00AF04A6"/>
    <w:rsid w:val="00AF2D96"/>
    <w:rsid w:val="00AF3154"/>
    <w:rsid w:val="00B015ED"/>
    <w:rsid w:val="00B51413"/>
    <w:rsid w:val="00B52215"/>
    <w:rsid w:val="00B647F4"/>
    <w:rsid w:val="00B7775B"/>
    <w:rsid w:val="00BA13D1"/>
    <w:rsid w:val="00BA39F9"/>
    <w:rsid w:val="00BA4ED3"/>
    <w:rsid w:val="00BA70CC"/>
    <w:rsid w:val="00BB087D"/>
    <w:rsid w:val="00BC6030"/>
    <w:rsid w:val="00BD0DC3"/>
    <w:rsid w:val="00BD4A48"/>
    <w:rsid w:val="00BD5B0B"/>
    <w:rsid w:val="00BF7B90"/>
    <w:rsid w:val="00C02C3F"/>
    <w:rsid w:val="00C13F6D"/>
    <w:rsid w:val="00C143EB"/>
    <w:rsid w:val="00C30E21"/>
    <w:rsid w:val="00C53C05"/>
    <w:rsid w:val="00C80FA2"/>
    <w:rsid w:val="00C83D54"/>
    <w:rsid w:val="00CA5A6D"/>
    <w:rsid w:val="00CC443F"/>
    <w:rsid w:val="00CD08E3"/>
    <w:rsid w:val="00CD13FC"/>
    <w:rsid w:val="00CE4A8E"/>
    <w:rsid w:val="00D12D05"/>
    <w:rsid w:val="00D20BDE"/>
    <w:rsid w:val="00D27289"/>
    <w:rsid w:val="00D72A82"/>
    <w:rsid w:val="00D8347C"/>
    <w:rsid w:val="00D9127E"/>
    <w:rsid w:val="00DC3209"/>
    <w:rsid w:val="00DD0D46"/>
    <w:rsid w:val="00DD19C1"/>
    <w:rsid w:val="00DD29A6"/>
    <w:rsid w:val="00DD316B"/>
    <w:rsid w:val="00DE033B"/>
    <w:rsid w:val="00DF07D8"/>
    <w:rsid w:val="00DF2E7F"/>
    <w:rsid w:val="00E04624"/>
    <w:rsid w:val="00E12113"/>
    <w:rsid w:val="00E24535"/>
    <w:rsid w:val="00E25207"/>
    <w:rsid w:val="00E34E53"/>
    <w:rsid w:val="00E421F4"/>
    <w:rsid w:val="00E47A39"/>
    <w:rsid w:val="00E546B9"/>
    <w:rsid w:val="00E62A67"/>
    <w:rsid w:val="00E6313C"/>
    <w:rsid w:val="00E85A0E"/>
    <w:rsid w:val="00EC396D"/>
    <w:rsid w:val="00ED55EE"/>
    <w:rsid w:val="00ED6F18"/>
    <w:rsid w:val="00EF0F70"/>
    <w:rsid w:val="00F04542"/>
    <w:rsid w:val="00F0577E"/>
    <w:rsid w:val="00F10BD3"/>
    <w:rsid w:val="00F116D4"/>
    <w:rsid w:val="00F1734C"/>
    <w:rsid w:val="00F271E7"/>
    <w:rsid w:val="00F52ABD"/>
    <w:rsid w:val="00F54A76"/>
    <w:rsid w:val="00F6247B"/>
    <w:rsid w:val="00F651A5"/>
    <w:rsid w:val="00FD561B"/>
    <w:rsid w:val="00FF1E97"/>
    <w:rsid w:val="00FF7D47"/>
    <w:rsid w:val="093947E7"/>
    <w:rsid w:val="2C0642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8"/>
    <w:unhideWhenUsed/>
    <w:qFormat/>
    <w:uiPriority w:val="99"/>
    <w:pPr>
      <w:adjustRightInd/>
      <w:snapToGrid/>
      <w:spacing w:line="560" w:lineRule="exact"/>
      <w:ind w:firstLine="640" w:firstLineChars="200"/>
    </w:pPr>
    <w:rPr>
      <w:rFonts w:cs="Times New Roman"/>
      <w:szCs w:val="32"/>
    </w:rPr>
  </w:style>
  <w:style w:type="paragraph" w:styleId="3">
    <w:name w:val="Body Text"/>
    <w:basedOn w:val="1"/>
    <w:link w:val="15"/>
    <w:qFormat/>
    <w:uiPriority w:val="0"/>
    <w:pPr>
      <w:spacing w:line="500" w:lineRule="atLeast"/>
    </w:pPr>
    <w:rPr>
      <w:rFonts w:ascii="宋体"/>
      <w:bCs/>
      <w:sz w:val="28"/>
    </w:rPr>
  </w:style>
  <w:style w:type="paragraph" w:styleId="4">
    <w:name w:val="Body Text Indent"/>
    <w:basedOn w:val="1"/>
    <w:link w:val="14"/>
    <w:qFormat/>
    <w:uiPriority w:val="0"/>
    <w:pPr>
      <w:spacing w:line="460" w:lineRule="atLeast"/>
      <w:ind w:firstLine="461" w:firstLineChars="192"/>
    </w:pPr>
    <w:rPr>
      <w:sz w:val="24"/>
    </w:rPr>
  </w:style>
  <w:style w:type="paragraph" w:styleId="5">
    <w:name w:val="Balloon Text"/>
    <w:basedOn w:val="1"/>
    <w:link w:val="16"/>
    <w:semiHidden/>
    <w:unhideWhenUsed/>
    <w:qFormat/>
    <w:uiPriority w:val="99"/>
    <w:rPr>
      <w:sz w:val="18"/>
      <w:szCs w:val="18"/>
    </w:rPr>
  </w:style>
  <w:style w:type="paragraph" w:styleId="6">
    <w:name w:val="footer"/>
    <w:basedOn w:val="1"/>
    <w:link w:val="13"/>
    <w:unhideWhenUsed/>
    <w:qFormat/>
    <w:uiPriority w:val="99"/>
    <w:pPr>
      <w:tabs>
        <w:tab w:val="center" w:pos="4153"/>
        <w:tab w:val="right" w:pos="8306"/>
      </w:tabs>
    </w:pPr>
    <w:rPr>
      <w:rFonts w:asciiTheme="minorHAnsi" w:hAnsiTheme="minorHAnsi" w:eastAsiaTheme="minorEastAsia"/>
      <w:sz w:val="18"/>
      <w:szCs w:val="18"/>
    </w:rPr>
  </w:style>
  <w:style w:type="paragraph" w:styleId="7">
    <w:name w:val="header"/>
    <w:basedOn w:val="1"/>
    <w:link w:val="12"/>
    <w:unhideWhenUsed/>
    <w:qFormat/>
    <w:uiPriority w:val="99"/>
    <w:pPr>
      <w:pBdr>
        <w:bottom w:val="single" w:color="auto" w:sz="6" w:space="1"/>
      </w:pBdr>
      <w:tabs>
        <w:tab w:val="center" w:pos="4153"/>
        <w:tab w:val="right" w:pos="8306"/>
      </w:tabs>
      <w:jc w:val="center"/>
    </w:pPr>
    <w:rPr>
      <w:rFonts w:asciiTheme="minorHAnsi" w:hAnsiTheme="minorHAnsi" w:eastAsiaTheme="minorEastAsia"/>
      <w:sz w:val="18"/>
      <w:szCs w:val="18"/>
    </w:rPr>
  </w:style>
  <w:style w:type="paragraph" w:styleId="8">
    <w:name w:val="Normal (Web)"/>
    <w:basedOn w:val="1"/>
    <w:unhideWhenUsed/>
    <w:qFormat/>
    <w:uiPriority w:val="99"/>
    <w:pPr>
      <w:widowControl/>
      <w:adjustRightInd/>
      <w:snapToGrid/>
      <w:spacing w:before="100" w:beforeAutospacing="1" w:afterAutospacing="1" w:line="240" w:lineRule="auto"/>
    </w:pPr>
    <w:rPr>
      <w:rFonts w:ascii="宋体" w:hAnsi="宋体" w:eastAsia="宋体" w:cs="宋体"/>
      <w:kern w:val="0"/>
      <w:sz w:val="24"/>
      <w:szCs w:val="24"/>
    </w:rPr>
  </w:style>
  <w:style w:type="character" w:styleId="11">
    <w:name w:val="line number"/>
    <w:basedOn w:val="10"/>
    <w:semiHidden/>
    <w:unhideWhenUsed/>
    <w:qFormat/>
    <w:uiPriority w:val="99"/>
  </w:style>
  <w:style w:type="character" w:customStyle="1" w:styleId="12">
    <w:name w:val="页眉 字符"/>
    <w:basedOn w:val="10"/>
    <w:link w:val="7"/>
    <w:qFormat/>
    <w:uiPriority w:val="99"/>
    <w:rPr>
      <w:sz w:val="18"/>
      <w:szCs w:val="18"/>
    </w:rPr>
  </w:style>
  <w:style w:type="character" w:customStyle="1" w:styleId="13">
    <w:name w:val="页脚 字符"/>
    <w:basedOn w:val="10"/>
    <w:link w:val="6"/>
    <w:qFormat/>
    <w:uiPriority w:val="99"/>
    <w:rPr>
      <w:sz w:val="18"/>
      <w:szCs w:val="18"/>
    </w:rPr>
  </w:style>
  <w:style w:type="character" w:customStyle="1" w:styleId="14">
    <w:name w:val="正文文本缩进 字符"/>
    <w:basedOn w:val="10"/>
    <w:link w:val="4"/>
    <w:qFormat/>
    <w:uiPriority w:val="0"/>
    <w:rPr>
      <w:rFonts w:ascii="Times New Roman" w:hAnsi="Times New Roman" w:eastAsia="宋体" w:cs="Times New Roman"/>
      <w:sz w:val="24"/>
      <w:szCs w:val="24"/>
    </w:rPr>
  </w:style>
  <w:style w:type="character" w:customStyle="1" w:styleId="15">
    <w:name w:val="正文文本 字符"/>
    <w:basedOn w:val="10"/>
    <w:link w:val="3"/>
    <w:qFormat/>
    <w:uiPriority w:val="0"/>
    <w:rPr>
      <w:rFonts w:ascii="宋体" w:hAnsi="Times New Roman" w:eastAsia="宋体" w:cs="Times New Roman"/>
      <w:bCs/>
      <w:sz w:val="28"/>
      <w:szCs w:val="24"/>
    </w:rPr>
  </w:style>
  <w:style w:type="character" w:customStyle="1" w:styleId="16">
    <w:name w:val="批注框文本 字符"/>
    <w:basedOn w:val="10"/>
    <w:link w:val="5"/>
    <w:semiHidden/>
    <w:qFormat/>
    <w:uiPriority w:val="99"/>
    <w:rPr>
      <w:rFonts w:ascii="Times New Roman" w:hAnsi="Times New Roman" w:eastAsia="宋体" w:cs="Times New Roman"/>
      <w:sz w:val="18"/>
      <w:szCs w:val="18"/>
    </w:rPr>
  </w:style>
  <w:style w:type="paragraph" w:styleId="17">
    <w:name w:val="List Paragraph"/>
    <w:basedOn w:val="1"/>
    <w:qFormat/>
    <w:uiPriority w:val="34"/>
    <w:pPr>
      <w:ind w:firstLine="420" w:firstLineChars="200"/>
    </w:pPr>
    <w:rPr>
      <w:rFonts w:asciiTheme="minorHAnsi" w:hAnsiTheme="minorHAnsi" w:eastAsiaTheme="minorEastAsia"/>
      <w:sz w:val="21"/>
      <w:szCs w:val="22"/>
    </w:rPr>
  </w:style>
  <w:style w:type="character" w:customStyle="1" w:styleId="18">
    <w:name w:val="批注文字 字符"/>
    <w:basedOn w:val="10"/>
    <w:link w:val="2"/>
    <w:qFormat/>
    <w:uiPriority w:val="99"/>
    <w:rPr>
      <w:rFonts w:ascii="Times New Roman" w:hAnsi="Times New Roman" w:eastAsia="仿宋_GB2312" w:cs="Times New Roman"/>
      <w:sz w:val="32"/>
      <w:szCs w:val="3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microsoft.com/office/2011/relationships/people" Target="people.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tbi\Desktop\&#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F2D960-8F91-4CB8-AA20-96D5E73F2FE0}">
  <ds:schemaRefs/>
</ds:datastoreItem>
</file>

<file path=docProps/app.xml><?xml version="1.0" encoding="utf-8"?>
<Properties xmlns="http://schemas.openxmlformats.org/officeDocument/2006/extended-properties" xmlns:vt="http://schemas.openxmlformats.org/officeDocument/2006/docPropsVTypes">
  <Template>中山大学下行文模板</Template>
  <Company>SYSU</Company>
  <Pages>12</Pages>
  <Words>5621</Words>
  <Characters>5665</Characters>
  <Lines>41</Lines>
  <Paragraphs>11</Paragraphs>
  <TotalTime>56</TotalTime>
  <ScaleCrop>false</ScaleCrop>
  <LinksUpToDate>false</LinksUpToDate>
  <CharactersWithSpaces>5777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2021-05-28T00:31:00Z</dcterms:created>
  <dc:creator>fatbin222@outlook.com</dc:creator>
  <cp:lastModifiedBy>seasance</cp:lastModifiedBy>
  <cp:lastPrinted>2016-10-24T07:10:00Z</cp:lastPrinted>
  <dcterms:modified xsi:type="dcterms:W3CDTF">2025-08-18T09:11:23Z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5C4B3F2020BA4435A97B17CD523FF22C_12</vt:lpwstr>
  </property>
  <property fmtid="{D5CDD505-2E9C-101B-9397-08002B2CF9AE}" pid="4" name="KSOTemplateDocerSaveRecord">
    <vt:lpwstr>eyJoZGlkIjoiMDI4N2JkZTY5YWVlYThmYTE2YTdlZTZiYzE2OWE4YjMiLCJ1c2VySWQiOiIyOTI2NTY2MjkifQ==</vt:lpwstr>
  </property>
</Properties>
</file>