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63378208">
      <w:pPr>
        <w:spacing w:line="360" w:lineRule="auto"/>
        <w:jc w:val="center"/>
        <w:rPr>
          <w:rFonts w:ascii="黑体" w:eastAsia="黑体" w:hAnsi="黑体" w:cs="Helvetica Neue" w:hint="eastAsia"/>
          <w:kern w:val="0"/>
          <w:sz w:val="36"/>
          <w:szCs w:val="36"/>
        </w:rPr>
      </w:pPr>
      <w:r>
        <w:rPr>
          <w:rFonts w:ascii="黑体" w:eastAsia="黑体" w:hAnsi="黑体" w:cs="Helvetica Neue" w:hint="eastAsia"/>
          <w:kern w:val="0"/>
          <w:sz w:val="36"/>
          <w:szCs w:val="36"/>
        </w:rPr>
        <w:t>粤治粤美·首届党建引领基层治理优秀案例征集</w:t>
      </w:r>
    </w:p>
    <w:p w14:paraId="2468C513">
      <w:pPr>
        <w:spacing w:line="360" w:lineRule="auto"/>
        <w:jc w:val="center"/>
        <w:rPr>
          <w:rFonts w:ascii="黑体" w:eastAsia="黑体" w:hAnsi="黑体" w:cs="Helvetica Neue"/>
          <w:kern w:val="0"/>
          <w:sz w:val="36"/>
          <w:szCs w:val="36"/>
        </w:rPr>
      </w:pPr>
      <w:r>
        <w:rPr>
          <w:rFonts w:ascii="黑体" w:eastAsia="黑体" w:hAnsi="黑体" w:cs="Helvetica Neue" w:hint="eastAsia"/>
          <w:kern w:val="0"/>
          <w:sz w:val="36"/>
          <w:szCs w:val="36"/>
        </w:rPr>
        <w:t>活动报名表</w:t>
      </w:r>
    </w:p>
    <w:tbl>
      <w:tblPr>
        <w:tblStyle w:val="TableNormal"/>
        <w:tblW w:w="8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550"/>
        <w:gridCol w:w="1807"/>
        <w:gridCol w:w="2639"/>
      </w:tblGrid>
      <w:tr w14:paraId="2A98B443">
        <w:tblPrEx>
          <w:tblW w:w="8516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8516" w:type="dxa"/>
            <w:gridSpan w:val="4"/>
            <w:shd w:val="clear" w:color="auto" w:fill="D9D9D9"/>
            <w:vAlign w:val="center"/>
          </w:tcPr>
          <w:p w14:paraId="625D2671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基本资料</w:t>
            </w:r>
          </w:p>
        </w:tc>
      </w:tr>
      <w:tr w14:paraId="5B9020ED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1520" w:type="dxa"/>
            <w:vAlign w:val="center"/>
          </w:tcPr>
          <w:p w14:paraId="3F4847CE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作品标题</w:t>
            </w:r>
          </w:p>
        </w:tc>
        <w:tc>
          <w:tcPr>
            <w:tcW w:w="2550" w:type="dxa"/>
            <w:vAlign w:val="center"/>
          </w:tcPr>
          <w:p w14:paraId="52F77F07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807" w:type="dxa"/>
            <w:vAlign w:val="center"/>
          </w:tcPr>
          <w:p w14:paraId="7BD11D89">
            <w:pPr>
              <w:spacing w:line="360" w:lineRule="auto"/>
              <w:jc w:val="center"/>
            </w:pPr>
            <w:r>
              <w:t>细分模块主题</w:t>
            </w:r>
          </w:p>
          <w:p w14:paraId="2067037D">
            <w:pPr>
              <w:spacing w:line="360" w:lineRule="auto"/>
              <w:jc w:val="center"/>
            </w:pPr>
            <w:r>
              <w:t>（10</w:t>
            </w:r>
            <w:r>
              <w:rPr>
                <w:rFonts w:hint="eastAsia"/>
              </w:rPr>
              <w:t>选</w:t>
            </w:r>
            <w:r>
              <w:t>1）</w:t>
            </w:r>
          </w:p>
        </w:tc>
        <w:tc>
          <w:tcPr>
            <w:tcW w:w="2639" w:type="dxa"/>
            <w:vAlign w:val="center"/>
          </w:tcPr>
          <w:p w14:paraId="2AFD897C">
            <w:pPr>
              <w:spacing w:line="360" w:lineRule="auto"/>
              <w:jc w:val="center"/>
              <w:rPr>
                <w:rFonts w:ascii="黑体" w:eastAsia="黑体" w:hAnsi="黑体" w:cs="Times New Roman" w:hint="default"/>
                <w:lang w:val="en-US" w:eastAsia="zh-CN"/>
              </w:rPr>
            </w:pPr>
          </w:p>
        </w:tc>
      </w:tr>
      <w:tr w14:paraId="623092FA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/>
        </w:trPr>
        <w:tc>
          <w:tcPr>
            <w:tcW w:w="1520" w:type="dxa"/>
            <w:vAlign w:val="center"/>
          </w:tcPr>
          <w:p w14:paraId="434C1DDB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联系</w:t>
            </w:r>
            <w:r>
              <w:rPr>
                <w:rFonts w:ascii="黑体" w:eastAsia="黑体" w:hAnsi="黑体" w:cs="黑体" w:hint="eastAsia"/>
              </w:rPr>
              <w:t>人</w:t>
            </w:r>
          </w:p>
        </w:tc>
        <w:tc>
          <w:tcPr>
            <w:tcW w:w="2550" w:type="dxa"/>
            <w:vAlign w:val="center"/>
          </w:tcPr>
          <w:p w14:paraId="5A223AC4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807" w:type="dxa"/>
            <w:vAlign w:val="center"/>
          </w:tcPr>
          <w:p w14:paraId="6E3553BB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联系电话</w:t>
            </w:r>
          </w:p>
        </w:tc>
        <w:tc>
          <w:tcPr>
            <w:tcW w:w="2639" w:type="dxa"/>
            <w:vAlign w:val="center"/>
          </w:tcPr>
          <w:p w14:paraId="0EDA27AB">
            <w:pPr>
              <w:spacing w:line="360" w:lineRule="auto"/>
              <w:jc w:val="center"/>
              <w:rPr>
                <w:rFonts w:ascii="黑体" w:eastAsia="黑体" w:hAnsi="黑体" w:cs="Times New Roman"/>
              </w:rPr>
            </w:pPr>
          </w:p>
        </w:tc>
      </w:tr>
      <w:tr w14:paraId="57566A43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/>
        </w:trPr>
        <w:tc>
          <w:tcPr>
            <w:tcW w:w="8516" w:type="dxa"/>
            <w:gridSpan w:val="4"/>
            <w:shd w:val="clear" w:color="auto" w:fill="D9D9D9"/>
            <w:vAlign w:val="center"/>
          </w:tcPr>
          <w:p w14:paraId="7C836213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文字介绍全文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（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标题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+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内文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）</w:t>
            </w:r>
          </w:p>
        </w:tc>
      </w:tr>
      <w:tr w14:paraId="4F62ECD8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/>
        </w:trPr>
        <w:tc>
          <w:tcPr>
            <w:tcW w:w="8516" w:type="dxa"/>
            <w:gridSpan w:val="4"/>
            <w:vAlign w:val="center"/>
          </w:tcPr>
          <w:p w14:paraId="293773D1">
            <w:pPr>
              <w:rPr>
                <w:rFonts w:ascii="黑体" w:eastAsia="黑体" w:hAnsi="黑体" w:cs="Times New Roman" w:hint="eastAsia"/>
                <w:color w:val="FF000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FF0000"/>
                <w:lang w:val="en-US" w:eastAsia="zh-CN"/>
              </w:rPr>
              <w:t>正文介绍党建引领基层治理的先进经验，案例要来自党建引领基层治理工作的真实实践，紧扣对应的细分模块主题，应体现破解党建引领基层治理重点难点问题，体现推动基层党建与基层治理深度融合，有一定的创新性、典型性和推广价值，防止空谈和杜撰。字数在1500字以内。</w:t>
            </w:r>
            <w:bookmarkStart w:id="0" w:name="_GoBack"/>
            <w:bookmarkEnd w:id="0"/>
          </w:p>
          <w:p w14:paraId="66FB88C8">
            <w:pPr>
              <w:jc w:val="center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【案例文本体例（供参考）】</w:t>
            </w:r>
          </w:p>
          <w:p w14:paraId="226E2443">
            <w:pP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 xml:space="preserve">    一、总体情况（150字左右）</w:t>
            </w:r>
          </w:p>
          <w:p w14:paraId="21CF6C28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XXXXXXXXXXXXXXXXXXX（正文仿宋GB2312三号字，下同）</w:t>
            </w:r>
          </w:p>
          <w:p w14:paraId="7168503F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二、做法与成效（1200字左右）</w:t>
            </w:r>
          </w:p>
          <w:p w14:paraId="0DD732D6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（一）XXXXXXXXXXXXX（楷体GB2312三号字，下同）</w:t>
            </w:r>
          </w:p>
          <w:p w14:paraId="0C40B062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XXXXXXXXXXXXXXXXXXXXXXXXXXXXXXXXXX（标题＋做法＋成效）</w:t>
            </w:r>
          </w:p>
          <w:p w14:paraId="3C71856C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（二）XXXXXXXXXXXXX</w:t>
            </w:r>
          </w:p>
          <w:p w14:paraId="4586D4F4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XXXXXXXXXXXXXXXXXXXXXXXXXXXXXXXXXX（标题＋做法＋成效）</w:t>
            </w:r>
          </w:p>
          <w:p w14:paraId="7B4739E7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（三）XXXXXXXXXXXXX</w:t>
            </w:r>
          </w:p>
          <w:p w14:paraId="11D85850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XXXXXXXXXXXXXXXXXXXXXXXXXXXXXXXXXX（标题＋做法＋成效）</w:t>
            </w:r>
          </w:p>
          <w:p w14:paraId="033AAADE">
            <w:pPr>
              <w:ind w:firstLine="480" w:firstLineChars="200"/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</w:pPr>
          </w:p>
          <w:p w14:paraId="744B12F6">
            <w:pPr>
              <w:ind w:firstLine="480" w:firstLineChars="200"/>
              <w:rPr>
                <w:rFonts w:ascii="黑体" w:eastAsia="黑体" w:hAnsi="黑体" w:cs="Times New Roman" w:hint="default"/>
                <w:color w:val="0070C0"/>
                <w:lang w:val="en-US" w:eastAsia="zh-CN"/>
              </w:rPr>
            </w:pPr>
            <w:r>
              <w:rPr>
                <w:rFonts w:ascii="黑体" w:eastAsia="黑体" w:hAnsi="黑体" w:cs="Times New Roman" w:hint="eastAsia"/>
                <w:color w:val="0070C0"/>
                <w:lang w:val="en-US" w:eastAsia="zh-CN"/>
              </w:rPr>
              <w:t>（结语）XXXXXXXXXXXXXXXXXXXXXXXXXXXXXXXXXX（150字左右）</w:t>
            </w:r>
          </w:p>
          <w:p w14:paraId="17621444">
            <w:pPr>
              <w:rPr>
                <w:rFonts w:ascii="黑体" w:eastAsia="黑体" w:hAnsi="黑体" w:cs="Times New Roman" w:hint="default"/>
                <w:color w:val="FF0000"/>
                <w:lang w:val="en-US" w:eastAsia="zh-CN"/>
              </w:rPr>
            </w:pPr>
          </w:p>
        </w:tc>
      </w:tr>
      <w:tr w14:paraId="24412F67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/>
        </w:trPr>
        <w:tc>
          <w:tcPr>
            <w:tcW w:w="8516" w:type="dxa"/>
            <w:gridSpan w:val="4"/>
            <w:shd w:val="clear" w:color="auto" w:fill="D9D9D9"/>
            <w:vAlign w:val="center"/>
          </w:tcPr>
          <w:p w14:paraId="21250518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图片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（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请将所有图片贴于下方方框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）</w:t>
            </w:r>
          </w:p>
        </w:tc>
      </w:tr>
      <w:tr w14:paraId="4EA6E690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/>
        </w:trPr>
        <w:tc>
          <w:tcPr>
            <w:tcW w:w="8516" w:type="dxa"/>
            <w:gridSpan w:val="4"/>
            <w:vAlign w:val="center"/>
          </w:tcPr>
          <w:p w14:paraId="73C45968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Times New Roman" w:hint="eastAsia"/>
                <w:color w:val="FF0000"/>
                <w:lang w:val="en-US" w:eastAsia="zh-CN"/>
              </w:rPr>
              <w:t>紧扣案例内容，体现不同场景，要求画质清晰，突出现场感、故事性、感染力，报送2-5张电子图片。图片格式为JPG、JPEG、PNG，每张图片精度1M以上、单幅不超过3M。</w:t>
            </w:r>
          </w:p>
        </w:tc>
      </w:tr>
      <w:tr w14:paraId="49FE404E">
        <w:tblPrEx>
          <w:tblW w:w="8516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/>
        </w:trPr>
        <w:tc>
          <w:tcPr>
            <w:tcW w:w="1520" w:type="dxa"/>
            <w:vAlign w:val="center"/>
          </w:tcPr>
          <w:p w14:paraId="73E7FED9">
            <w:pPr>
              <w:spacing w:line="360" w:lineRule="auto"/>
              <w:rPr>
                <w:rFonts w:ascii="黑体" w:eastAsia="黑体" w:hAnsi="黑体" w:cs="Times New Roman"/>
              </w:rPr>
            </w:pPr>
          </w:p>
          <w:p w14:paraId="2628B130">
            <w:pPr>
              <w:spacing w:line="360" w:lineRule="auto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单位意见</w:t>
            </w:r>
          </w:p>
        </w:tc>
        <w:tc>
          <w:tcPr>
            <w:tcW w:w="6996" w:type="dxa"/>
            <w:gridSpan w:val="3"/>
            <w:vAlign w:val="center"/>
          </w:tcPr>
          <w:p w14:paraId="022236B6">
            <w:pPr>
              <w:spacing w:line="2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599A766">
            <w:pPr>
              <w:spacing w:line="2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2B7F89B">
            <w:pPr>
              <w:ind w:firstLine="560" w:firstLineChars="2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经我单位审核，相关申报材料属实。我单位同意推荐该作品参加“粤治粤美·首届党建引领基层治理优秀案例征集活动”。</w:t>
            </w:r>
          </w:p>
          <w:p w14:paraId="06C92928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</w:t>
            </w:r>
            <w:r>
              <w:rPr>
                <w:rFonts w:ascii="黑体" w:eastAsia="黑体" w:hAnsi="黑体" w:cs="Times New Roman" w:hint="eastAsia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  <w:p w14:paraId="6E3C84A6">
            <w:pPr>
              <w:spacing w:line="360" w:lineRule="auto"/>
              <w:ind w:left="5760" w:hanging="5760" w:hangingChars="2400"/>
              <w:jc w:val="righ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18"/>
              </w:rPr>
              <w:t xml:space="preserve">（盖单位公章）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    </w:t>
            </w:r>
          </w:p>
          <w:p w14:paraId="22B9B916">
            <w:pPr>
              <w:spacing w:line="360" w:lineRule="auto"/>
              <w:ind w:left="5760" w:hanging="5760" w:hangingChars="2400"/>
              <w:jc w:val="righ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/>
                <w:color w:val="000000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18"/>
              </w:rPr>
              <w:t>年</w:t>
            </w:r>
            <w:r>
              <w:rPr>
                <w:rFonts w:ascii="Times New Roman" w:eastAsia="仿宋_GB2312" w:hAnsi="Times New Roman" w:cs="仿宋_GB2312"/>
                <w:color w:val="000000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18"/>
              </w:rPr>
              <w:t>月</w:t>
            </w:r>
            <w:r>
              <w:rPr>
                <w:rFonts w:ascii="Times New Roman" w:eastAsia="仿宋_GB2312" w:hAnsi="Times New Roman" w:cs="仿宋_GB2312"/>
                <w:color w:val="000000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18"/>
              </w:rPr>
              <w:t>日</w:t>
            </w:r>
          </w:p>
        </w:tc>
      </w:tr>
    </w:tbl>
    <w:p w14:paraId="39F5DCD5">
      <w:pPr>
        <w:autoSpaceDE w:val="0"/>
        <w:spacing w:line="620" w:lineRule="exact"/>
        <w:ind w:firstLine="420" w:firstLineChars="200"/>
        <w:rPr>
          <w:rFonts w:ascii="仿宋" w:eastAsia="仿宋" w:hAnsi="仿宋" w:cs="仿宋" w:hint="eastAsia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【</w:t>
      </w:r>
      <w:r>
        <w:rPr>
          <w:rFonts w:ascii="仿宋" w:eastAsia="仿宋" w:hAnsi="仿宋" w:cs="仿宋" w:hint="eastAsia"/>
          <w:sz w:val="21"/>
          <w:szCs w:val="21"/>
        </w:rPr>
        <w:t>备注：标题</w:t>
      </w:r>
      <w:r>
        <w:rPr>
          <w:rFonts w:ascii="仿宋" w:eastAsia="仿宋" w:hAnsi="仿宋" w:cs="仿宋" w:hint="eastAsia"/>
          <w:sz w:val="21"/>
          <w:szCs w:val="21"/>
        </w:rPr>
        <w:t>命名为“单位：+经验”，如“佛山禅城：支部建进小区，服务群众零距离”。细分模块主题10</w:t>
      </w:r>
      <w:r>
        <w:rPr>
          <w:rFonts w:ascii="仿宋" w:eastAsia="仿宋" w:hAnsi="仿宋" w:cs="仿宋" w:hint="eastAsia"/>
          <w:sz w:val="21"/>
          <w:szCs w:val="21"/>
        </w:rPr>
        <w:t>选1，包括：</w:t>
      </w:r>
      <w:r>
        <w:rPr>
          <w:rFonts w:ascii="仿宋" w:eastAsia="仿宋" w:hAnsi="仿宋" w:cs="仿宋"/>
          <w:sz w:val="21"/>
          <w:szCs w:val="21"/>
        </w:rPr>
        <w:t>建设现代</w:t>
      </w:r>
      <w:r>
        <w:rPr>
          <w:rFonts w:ascii="仿宋" w:eastAsia="仿宋" w:hAnsi="仿宋" w:cs="仿宋" w:hint="eastAsia"/>
          <w:sz w:val="21"/>
          <w:szCs w:val="21"/>
        </w:rPr>
        <w:t>小</w:t>
      </w:r>
      <w:r>
        <w:rPr>
          <w:rFonts w:ascii="仿宋" w:eastAsia="仿宋" w:hAnsi="仿宋" w:cs="仿宋"/>
          <w:sz w:val="21"/>
          <w:szCs w:val="21"/>
        </w:rPr>
        <w:t>区（</w:t>
      </w:r>
      <w:r>
        <w:rPr>
          <w:rFonts w:ascii="仿宋" w:eastAsia="仿宋" w:hAnsi="仿宋" w:cs="仿宋" w:hint="eastAsia"/>
          <w:sz w:val="21"/>
          <w:szCs w:val="21"/>
        </w:rPr>
        <w:t>社</w:t>
      </w:r>
      <w:r>
        <w:rPr>
          <w:rFonts w:ascii="仿宋" w:eastAsia="仿宋" w:hAnsi="仿宋" w:cs="仿宋"/>
          <w:sz w:val="21"/>
          <w:szCs w:val="21"/>
        </w:rPr>
        <w:t>区）、</w:t>
      </w:r>
      <w:r>
        <w:rPr>
          <w:rFonts w:ascii="仿宋" w:eastAsia="仿宋" w:hAnsi="仿宋" w:cs="仿宋" w:hint="eastAsia"/>
          <w:sz w:val="21"/>
          <w:szCs w:val="21"/>
        </w:rPr>
        <w:t>“</w:t>
      </w:r>
      <w:r>
        <w:rPr>
          <w:rFonts w:ascii="仿宋" w:eastAsia="仿宋" w:hAnsi="仿宋" w:cs="仿宋"/>
          <w:sz w:val="21"/>
          <w:szCs w:val="21"/>
        </w:rPr>
        <w:t>支部建在小区（小组）</w:t>
      </w:r>
      <w:r>
        <w:rPr>
          <w:rFonts w:ascii="仿宋" w:eastAsia="仿宋" w:hAnsi="仿宋" w:cs="仿宋" w:hint="eastAsia"/>
          <w:sz w:val="21"/>
          <w:szCs w:val="21"/>
        </w:rPr>
        <w:t>上”</w:t>
      </w:r>
      <w:r>
        <w:rPr>
          <w:rFonts w:ascii="仿宋" w:eastAsia="仿宋" w:hAnsi="仿宋" w:cs="仿宋"/>
          <w:sz w:val="21"/>
          <w:szCs w:val="21"/>
        </w:rPr>
        <w:t>、“两社三中心”</w:t>
      </w:r>
      <w:r>
        <w:rPr>
          <w:rFonts w:ascii="仿宋" w:eastAsia="仿宋" w:hAnsi="仿宋" w:cs="仿宋" w:hint="eastAsia"/>
          <w:sz w:val="21"/>
          <w:szCs w:val="21"/>
        </w:rPr>
        <w:t>建设（</w:t>
      </w:r>
      <w:r>
        <w:rPr>
          <w:rFonts w:ascii="仿宋" w:eastAsia="仿宋" w:hAnsi="仿宋" w:cs="仿宋"/>
          <w:sz w:val="21"/>
          <w:szCs w:val="21"/>
        </w:rPr>
        <w:t>社区运营</w:t>
      </w:r>
      <w:r>
        <w:rPr>
          <w:rFonts w:ascii="仿宋" w:eastAsia="仿宋" w:hAnsi="仿宋" w:cs="仿宋" w:hint="eastAsia"/>
          <w:sz w:val="21"/>
          <w:szCs w:val="21"/>
        </w:rPr>
        <w:t>）</w:t>
      </w:r>
      <w:r>
        <w:rPr>
          <w:rFonts w:ascii="仿宋" w:eastAsia="仿宋" w:hAnsi="仿宋" w:cs="仿宋"/>
          <w:sz w:val="21"/>
          <w:szCs w:val="21"/>
        </w:rPr>
        <w:t>、破解基层治理“小马拉大车”突出问题、创建</w:t>
      </w:r>
      <w:r>
        <w:rPr>
          <w:rFonts w:ascii="仿宋" w:eastAsia="仿宋" w:hAnsi="仿宋" w:cs="仿宋" w:hint="eastAsia"/>
          <w:sz w:val="21"/>
          <w:szCs w:val="21"/>
        </w:rPr>
        <w:t>“</w:t>
      </w:r>
      <w:r>
        <w:rPr>
          <w:rFonts w:ascii="仿宋" w:eastAsia="仿宋" w:hAnsi="仿宋" w:cs="仿宋"/>
          <w:sz w:val="21"/>
          <w:szCs w:val="21"/>
        </w:rPr>
        <w:t>熟人社区</w:t>
      </w:r>
      <w:r>
        <w:rPr>
          <w:rFonts w:ascii="仿宋" w:eastAsia="仿宋" w:hAnsi="仿宋" w:cs="仿宋" w:hint="eastAsia"/>
          <w:sz w:val="21"/>
          <w:szCs w:val="21"/>
        </w:rPr>
        <w:t>”</w:t>
      </w:r>
      <w:r>
        <w:rPr>
          <w:rFonts w:ascii="仿宋" w:eastAsia="仿宋" w:hAnsi="仿宋" w:cs="仿宋"/>
          <w:sz w:val="21"/>
          <w:szCs w:val="21"/>
        </w:rPr>
        <w:t>、</w:t>
      </w:r>
      <w:r>
        <w:rPr>
          <w:rFonts w:ascii="仿宋" w:eastAsia="仿宋" w:hAnsi="仿宋" w:cs="仿宋" w:hint="eastAsia"/>
          <w:sz w:val="21"/>
          <w:szCs w:val="21"/>
        </w:rPr>
        <w:t>建设</w:t>
      </w:r>
      <w:r>
        <w:rPr>
          <w:rFonts w:ascii="仿宋" w:eastAsia="仿宋" w:hAnsi="仿宋" w:cs="仿宋"/>
          <w:sz w:val="21"/>
          <w:szCs w:val="21"/>
        </w:rPr>
        <w:t>社会工作观察</w:t>
      </w:r>
      <w:r>
        <w:rPr>
          <w:rFonts w:ascii="仿宋" w:eastAsia="仿宋" w:hAnsi="仿宋" w:cs="仿宋" w:hint="eastAsia"/>
          <w:sz w:val="21"/>
          <w:szCs w:val="21"/>
        </w:rPr>
        <w:t>制度体系</w:t>
      </w:r>
      <w:r>
        <w:rPr>
          <w:rFonts w:ascii="仿宋" w:eastAsia="仿宋" w:hAnsi="仿宋" w:cs="仿宋"/>
          <w:sz w:val="21"/>
          <w:szCs w:val="21"/>
        </w:rPr>
        <w:t>、健全基层民主制度（基层议事协商）、中华优秀传统文化</w:t>
      </w:r>
      <w:r>
        <w:rPr>
          <w:rFonts w:ascii="仿宋" w:eastAsia="仿宋" w:hAnsi="仿宋" w:cs="仿宋" w:hint="eastAsia"/>
          <w:sz w:val="21"/>
          <w:szCs w:val="21"/>
        </w:rPr>
        <w:t>赋能</w:t>
      </w:r>
      <w:r>
        <w:rPr>
          <w:rFonts w:ascii="仿宋" w:eastAsia="仿宋" w:hAnsi="仿宋" w:cs="仿宋"/>
          <w:sz w:val="21"/>
          <w:szCs w:val="21"/>
        </w:rPr>
        <w:t>基层治理、党建引领物业服务企业参与社区治理、其他类别（党建引领</w:t>
      </w:r>
      <w:r>
        <w:rPr>
          <w:rFonts w:ascii="仿宋" w:eastAsia="仿宋" w:hAnsi="仿宋" w:cs="仿宋" w:hint="eastAsia"/>
          <w:sz w:val="21"/>
          <w:szCs w:val="21"/>
        </w:rPr>
        <w:t>接诉即办、</w:t>
      </w:r>
      <w:r>
        <w:rPr>
          <w:rFonts w:ascii="仿宋" w:eastAsia="仿宋" w:hAnsi="仿宋" w:cs="仿宋"/>
          <w:sz w:val="21"/>
          <w:szCs w:val="21"/>
        </w:rPr>
        <w:t>数字赋能基层治理、社区工作法等</w:t>
      </w:r>
      <w:r>
        <w:rPr>
          <w:rFonts w:ascii="仿宋" w:eastAsia="仿宋" w:hAnsi="仿宋" w:cs="仿宋" w:hint="eastAsia"/>
          <w:sz w:val="21"/>
          <w:szCs w:val="21"/>
        </w:rPr>
        <w:t>）。】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VerticalOrigin w:val="198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A4"/>
    <w:rsid w:val="B57C1E84"/>
    <w:rsid w:val="BFDBB8BA"/>
    <w:rsid w:val="FBF85C3D"/>
    <w:rsid w:val="FDDF74D2"/>
    <w:rsid w:val="FDFF0CA4"/>
    <w:rsid w:val="FFB4232A"/>
    <w:rsid w:val="000B30C3"/>
    <w:rsid w:val="00112307"/>
    <w:rsid w:val="00113C07"/>
    <w:rsid w:val="001A1845"/>
    <w:rsid w:val="001A1ECE"/>
    <w:rsid w:val="00293F19"/>
    <w:rsid w:val="00326540"/>
    <w:rsid w:val="003D6CA4"/>
    <w:rsid w:val="00421481"/>
    <w:rsid w:val="00436009"/>
    <w:rsid w:val="004D1FE6"/>
    <w:rsid w:val="00576DD0"/>
    <w:rsid w:val="005A30DA"/>
    <w:rsid w:val="00635ED2"/>
    <w:rsid w:val="006938B1"/>
    <w:rsid w:val="007325FC"/>
    <w:rsid w:val="00732A46"/>
    <w:rsid w:val="00767B19"/>
    <w:rsid w:val="008C4A27"/>
    <w:rsid w:val="00905C0A"/>
    <w:rsid w:val="00920263"/>
    <w:rsid w:val="00932D80"/>
    <w:rsid w:val="00A2116E"/>
    <w:rsid w:val="00A862A0"/>
    <w:rsid w:val="00A96521"/>
    <w:rsid w:val="00AB18A8"/>
    <w:rsid w:val="00AB7D27"/>
    <w:rsid w:val="00AD7DA4"/>
    <w:rsid w:val="00AE19FE"/>
    <w:rsid w:val="00B93E67"/>
    <w:rsid w:val="00BD15E5"/>
    <w:rsid w:val="00C9123E"/>
    <w:rsid w:val="00CA515E"/>
    <w:rsid w:val="00D71BA7"/>
    <w:rsid w:val="00DD4D2C"/>
    <w:rsid w:val="00E03996"/>
    <w:rsid w:val="00E41ADE"/>
    <w:rsid w:val="00E84CD5"/>
    <w:rsid w:val="00F203E8"/>
    <w:rsid w:val="00F348BF"/>
    <w:rsid w:val="00F37BD8"/>
    <w:rsid w:val="00F97DD5"/>
    <w:rsid w:val="09A12C46"/>
    <w:rsid w:val="1FDBE3A0"/>
    <w:rsid w:val="2B3A1091"/>
    <w:rsid w:val="2B3B3AE5"/>
    <w:rsid w:val="2DA225FE"/>
    <w:rsid w:val="31EF4581"/>
    <w:rsid w:val="32147AF1"/>
    <w:rsid w:val="41062819"/>
    <w:rsid w:val="412137A3"/>
    <w:rsid w:val="42ED1B7C"/>
    <w:rsid w:val="4645316B"/>
    <w:rsid w:val="581B7B14"/>
    <w:rsid w:val="67057CD6"/>
    <w:rsid w:val="6D736FB4"/>
    <w:rsid w:val="71F418A2"/>
    <w:rsid w:val="7A6D6FE0"/>
    <w:rsid w:val="7BD70EDD"/>
    <w:rsid w:val="7E1F65CE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 w:semiHidden="0" w:uiPriority="0" w:unhideWhenUsed="0" w:qFormat="1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unhideWhenUsed/>
    <w:qFormat/>
    <w:pPr>
      <w:spacing w:after="120"/>
      <w:ind w:left="420" w:leftChars="200"/>
    </w:pPr>
  </w:style>
  <w:style w:type="paragraph" w:styleId="Footer">
    <w:name w:val="footer"/>
    <w:basedOn w:val="Normal"/>
    <w:link w:val="a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jc w:val="left"/>
    </w:pPr>
    <w:rPr>
      <w:rFonts w:cs="Times New Roman"/>
      <w:kern w:val="0"/>
    </w:rPr>
  </w:style>
  <w:style w:type="paragraph" w:styleId="BodyTextFirstIndent2">
    <w:name w:val="Body Text First Indent 2"/>
    <w:basedOn w:val="BodyTextIndent"/>
    <w:qFormat/>
    <w:pPr>
      <w:spacing w:after="0" w:line="360" w:lineRule="auto"/>
      <w:ind w:left="0" w:firstLine="420" w:leftChars="0"/>
      <w:textAlignment w:val="baseline"/>
    </w:pPr>
    <w:rPr>
      <w:rFonts w:eastAsia="宋体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字符"/>
    <w:basedOn w:val="DefaultParagraphFont"/>
    <w:link w:val="Header"/>
    <w:uiPriority w:val="99"/>
    <w:semiHidden/>
    <w:qFormat/>
    <w:rPr>
      <w:kern w:val="2"/>
      <w:sz w:val="18"/>
      <w:szCs w:val="18"/>
    </w:rPr>
  </w:style>
  <w:style w:type="character" w:customStyle="1" w:styleId="a0">
    <w:name w:val="页脚字符"/>
    <w:basedOn w:val="DefaultParagraphFont"/>
    <w:link w:val="Footer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9F522D-E493-9744-B63E-0BD4F8CAF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367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庞伟</cp:lastModifiedBy>
  <cp:revision>59</cp:revision>
  <dcterms:created xsi:type="dcterms:W3CDTF">2019-04-20T02:16:00Z</dcterms:created>
  <dcterms:modified xsi:type="dcterms:W3CDTF">2025-02-19T07:32:03Z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3B03C5558CA77F64578351670320E8E3_43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eyJoZGlkIjoiNWMzOGIxNWMyNDlkNzFjOWRhMTAwMjFjZTFkN2QxOWYiLCJ1c2VySWQiOiI2MzExMzA4ODgifQ==</vt:lpwstr>
  </property>
</Properties>
</file>