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03" w:rsidRDefault="00087503" w:rsidP="00D7281D">
      <w:pPr>
        <w:widowControl/>
        <w:adjustRightInd w:val="0"/>
        <w:snapToGrid w:val="0"/>
        <w:jc w:val="center"/>
        <w:outlineLvl w:val="0"/>
        <w:rPr>
          <w:rFonts w:ascii="方正小标宋简体" w:eastAsia="方正小标宋简体" w:hAnsi="宋体" w:cs="宋体" w:hint="eastAsia"/>
          <w:b/>
          <w:bCs/>
          <w:kern w:val="36"/>
          <w:sz w:val="44"/>
          <w:szCs w:val="44"/>
        </w:rPr>
      </w:pPr>
      <w:r w:rsidRPr="00087503">
        <w:rPr>
          <w:rFonts w:ascii="方正小标宋简体" w:eastAsia="方正小标宋简体" w:hAnsi="宋体" w:cs="宋体" w:hint="eastAsia"/>
          <w:b/>
          <w:bCs/>
          <w:kern w:val="36"/>
          <w:sz w:val="44"/>
          <w:szCs w:val="44"/>
        </w:rPr>
        <w:t>医学院研究生教育与学位专门委员会</w:t>
      </w:r>
    </w:p>
    <w:p w:rsidR="00087503" w:rsidRPr="00087503" w:rsidRDefault="00087503" w:rsidP="00D7281D">
      <w:pPr>
        <w:widowControl/>
        <w:adjustRightInd w:val="0"/>
        <w:snapToGrid w:val="0"/>
        <w:jc w:val="center"/>
        <w:outlineLvl w:val="0"/>
        <w:rPr>
          <w:rFonts w:ascii="方正小标宋简体" w:eastAsia="方正小标宋简体" w:hAnsi="宋体" w:cs="宋体" w:hint="eastAsia"/>
          <w:b/>
          <w:bCs/>
          <w:kern w:val="36"/>
          <w:sz w:val="44"/>
          <w:szCs w:val="44"/>
        </w:rPr>
      </w:pPr>
      <w:r w:rsidRPr="00087503">
        <w:rPr>
          <w:rFonts w:ascii="方正小标宋简体" w:eastAsia="方正小标宋简体" w:hAnsi="宋体" w:cs="宋体" w:hint="eastAsia"/>
          <w:b/>
          <w:bCs/>
          <w:kern w:val="36"/>
          <w:sz w:val="44"/>
          <w:szCs w:val="44"/>
        </w:rPr>
        <w:t>2021年</w:t>
      </w:r>
      <w:r w:rsidRPr="00087503">
        <w:rPr>
          <w:rFonts w:ascii="方正小标宋简体" w:eastAsia="方正小标宋简体" w:hint="eastAsia"/>
          <w:sz w:val="44"/>
          <w:szCs w:val="44"/>
        </w:rPr>
        <w:t>6月</w:t>
      </w:r>
      <w:r>
        <w:rPr>
          <w:rFonts w:ascii="方正小标宋简体" w:eastAsia="方正小标宋简体" w:hint="eastAsia"/>
          <w:sz w:val="44"/>
          <w:szCs w:val="44"/>
        </w:rPr>
        <w:t>建议授予学位</w:t>
      </w:r>
      <w:r w:rsidRPr="00087503">
        <w:rPr>
          <w:rFonts w:ascii="方正小标宋简体" w:eastAsia="方正小标宋简体" w:hint="eastAsia"/>
          <w:sz w:val="44"/>
          <w:szCs w:val="44"/>
        </w:rPr>
        <w:t>信息公示</w:t>
      </w:r>
    </w:p>
    <w:tbl>
      <w:tblPr>
        <w:tblStyle w:val="a3"/>
        <w:tblW w:w="8897" w:type="dxa"/>
        <w:tblLook w:val="04A0"/>
      </w:tblPr>
      <w:tblGrid>
        <w:gridCol w:w="675"/>
        <w:gridCol w:w="1276"/>
        <w:gridCol w:w="1134"/>
        <w:gridCol w:w="1559"/>
        <w:gridCol w:w="993"/>
        <w:gridCol w:w="3260"/>
      </w:tblGrid>
      <w:tr w:rsidR="00A2702E" w:rsidRPr="00A2702E" w:rsidTr="00A2702E">
        <w:tc>
          <w:tcPr>
            <w:tcW w:w="675" w:type="dxa"/>
            <w:vAlign w:val="center"/>
          </w:tcPr>
          <w:p w:rsidR="00A2702E" w:rsidRPr="00A2702E" w:rsidRDefault="00A2702E" w:rsidP="00A2702E">
            <w:pPr>
              <w:rPr>
                <w:rFonts w:ascii="仿宋" w:eastAsia="仿宋" w:hAnsi="仿宋"/>
                <w:b/>
                <w:sz w:val="24"/>
                <w:szCs w:val="24"/>
              </w:rPr>
            </w:pPr>
            <w:r w:rsidRPr="00A2702E">
              <w:rPr>
                <w:rFonts w:ascii="仿宋" w:eastAsia="仿宋" w:hAnsi="仿宋" w:hint="eastAsia"/>
                <w:b/>
                <w:sz w:val="24"/>
                <w:szCs w:val="24"/>
              </w:rPr>
              <w:t>序号</w:t>
            </w:r>
          </w:p>
        </w:tc>
        <w:tc>
          <w:tcPr>
            <w:tcW w:w="1276" w:type="dxa"/>
            <w:vAlign w:val="center"/>
          </w:tcPr>
          <w:p w:rsidR="00A2702E" w:rsidRPr="00A2702E" w:rsidRDefault="00A2702E" w:rsidP="00A2702E">
            <w:pPr>
              <w:rPr>
                <w:rFonts w:ascii="仿宋" w:eastAsia="仿宋" w:hAnsi="仿宋"/>
                <w:b/>
                <w:sz w:val="24"/>
                <w:szCs w:val="24"/>
              </w:rPr>
            </w:pPr>
            <w:r w:rsidRPr="00A2702E">
              <w:rPr>
                <w:rFonts w:ascii="仿宋" w:eastAsia="仿宋" w:hAnsi="仿宋"/>
                <w:b/>
                <w:sz w:val="24"/>
                <w:szCs w:val="24"/>
              </w:rPr>
              <w:t>学号</w:t>
            </w:r>
          </w:p>
        </w:tc>
        <w:tc>
          <w:tcPr>
            <w:tcW w:w="1134" w:type="dxa"/>
            <w:vAlign w:val="center"/>
          </w:tcPr>
          <w:p w:rsidR="00A2702E" w:rsidRPr="00A2702E" w:rsidRDefault="00A2702E" w:rsidP="00A2702E">
            <w:pPr>
              <w:rPr>
                <w:rFonts w:ascii="仿宋" w:eastAsia="仿宋" w:hAnsi="仿宋"/>
                <w:b/>
                <w:sz w:val="24"/>
                <w:szCs w:val="24"/>
              </w:rPr>
            </w:pPr>
            <w:r w:rsidRPr="00A2702E">
              <w:rPr>
                <w:rFonts w:ascii="仿宋" w:eastAsia="仿宋" w:hAnsi="仿宋"/>
                <w:b/>
                <w:sz w:val="24"/>
                <w:szCs w:val="24"/>
              </w:rPr>
              <w:t>姓名</w:t>
            </w:r>
          </w:p>
        </w:tc>
        <w:tc>
          <w:tcPr>
            <w:tcW w:w="1559" w:type="dxa"/>
            <w:vAlign w:val="center"/>
          </w:tcPr>
          <w:p w:rsidR="00A2702E" w:rsidRPr="00A2702E" w:rsidRDefault="00A2702E" w:rsidP="00A2702E">
            <w:pPr>
              <w:rPr>
                <w:rFonts w:ascii="仿宋" w:eastAsia="仿宋" w:hAnsi="仿宋"/>
                <w:b/>
                <w:sz w:val="24"/>
                <w:szCs w:val="24"/>
              </w:rPr>
            </w:pPr>
            <w:r w:rsidRPr="00A2702E">
              <w:rPr>
                <w:rFonts w:ascii="仿宋" w:eastAsia="仿宋" w:hAnsi="仿宋"/>
                <w:b/>
                <w:sz w:val="24"/>
                <w:szCs w:val="24"/>
              </w:rPr>
              <w:t>专业</w:t>
            </w:r>
          </w:p>
        </w:tc>
        <w:tc>
          <w:tcPr>
            <w:tcW w:w="993" w:type="dxa"/>
            <w:vAlign w:val="center"/>
          </w:tcPr>
          <w:p w:rsidR="00A2702E" w:rsidRDefault="00A2702E" w:rsidP="00A2702E">
            <w:pPr>
              <w:rPr>
                <w:rFonts w:ascii="仿宋" w:eastAsia="仿宋" w:hAnsi="仿宋" w:hint="eastAsia"/>
                <w:b/>
                <w:sz w:val="24"/>
                <w:szCs w:val="24"/>
              </w:rPr>
            </w:pPr>
            <w:r w:rsidRPr="00A2702E">
              <w:rPr>
                <w:rFonts w:ascii="仿宋" w:eastAsia="仿宋" w:hAnsi="仿宋"/>
                <w:b/>
                <w:sz w:val="24"/>
                <w:szCs w:val="24"/>
              </w:rPr>
              <w:t>导师</w:t>
            </w:r>
          </w:p>
          <w:p w:rsidR="00A2702E" w:rsidRPr="00A2702E" w:rsidRDefault="00A2702E" w:rsidP="00A2702E">
            <w:pPr>
              <w:rPr>
                <w:rFonts w:ascii="仿宋" w:eastAsia="仿宋" w:hAnsi="仿宋"/>
                <w:b/>
                <w:sz w:val="24"/>
                <w:szCs w:val="24"/>
              </w:rPr>
            </w:pPr>
            <w:r w:rsidRPr="00A2702E">
              <w:rPr>
                <w:rFonts w:ascii="仿宋" w:eastAsia="仿宋" w:hAnsi="仿宋"/>
                <w:b/>
                <w:sz w:val="24"/>
                <w:szCs w:val="24"/>
              </w:rPr>
              <w:t>姓名</w:t>
            </w:r>
          </w:p>
        </w:tc>
        <w:tc>
          <w:tcPr>
            <w:tcW w:w="3260" w:type="dxa"/>
            <w:vAlign w:val="center"/>
          </w:tcPr>
          <w:p w:rsidR="00A2702E" w:rsidRPr="00A2702E" w:rsidRDefault="00A2702E" w:rsidP="00A2702E">
            <w:pPr>
              <w:rPr>
                <w:rFonts w:ascii="仿宋" w:eastAsia="仿宋" w:hAnsi="仿宋"/>
                <w:b/>
                <w:sz w:val="24"/>
                <w:szCs w:val="24"/>
              </w:rPr>
            </w:pPr>
            <w:r w:rsidRPr="00A2702E">
              <w:rPr>
                <w:rFonts w:ascii="仿宋" w:eastAsia="仿宋" w:hAnsi="仿宋"/>
                <w:b/>
                <w:sz w:val="24"/>
                <w:szCs w:val="24"/>
              </w:rPr>
              <w:t>学位论文题目</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w:t>
            </w:r>
          </w:p>
        </w:tc>
        <w:tc>
          <w:tcPr>
            <w:tcW w:w="1276" w:type="dxa"/>
            <w:vAlign w:val="center"/>
          </w:tcPr>
          <w:p w:rsidR="00A2702E" w:rsidRPr="00A2702E" w:rsidRDefault="00A2702E" w:rsidP="00A2702E">
            <w:pPr>
              <w:rPr>
                <w:rFonts w:ascii="仿宋" w:eastAsia="仿宋" w:hAnsi="仿宋"/>
                <w:sz w:val="24"/>
                <w:szCs w:val="24"/>
              </w:rPr>
            </w:pPr>
            <w:r w:rsidRPr="00A2702E">
              <w:rPr>
                <w:rFonts w:ascii="仿宋" w:eastAsia="仿宋" w:hAnsi="仿宋"/>
                <w:sz w:val="24"/>
                <w:szCs w:val="24"/>
              </w:rPr>
              <w:t>18110910</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肖婧舒</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生物化学与分子生物学</w:t>
            </w:r>
          </w:p>
        </w:tc>
        <w:tc>
          <w:tcPr>
            <w:tcW w:w="993"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郭德银</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增强溶瘤病毒对神经胶质瘤细胞杀伤效果的策略研究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2</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18214444</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程池池</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微生物学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赵文学</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基于公共数据库的核糖体蛋白的翻译组学研究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3</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18214446</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卢晓玉</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微生物学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郭德银</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常见吸血节肢动物的微生物组分析</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4</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18214450</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童奎杰</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细胞生物学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潘纪安</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全基因组范围内新型冠状病毒编码蛋白的相互作用分析</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5</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18214451</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陈信信</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生物化学与分子生物学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郭德银</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基于RNA测序发现和描述低等脊椎动物的DNA和逆转录病毒</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6</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18214453</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胡哲瑜</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生物化学与分子生物学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林初文</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HHIP-AS1在肺鳞癌中的作用机制研究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7</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18214455</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林汉文</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生物化学与分子生物学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潘纪安</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SARS-CoV-2 复制及转录系统的构建</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8</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18214456</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卢瑞卿</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生物化学与分子生物学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周忠卫</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Mre11在脑发育中的功能研究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9</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18214457</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申欣欣</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生物化学与分子生物学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刘迎芳</w:t>
            </w:r>
          </w:p>
        </w:tc>
        <w:tc>
          <w:tcPr>
            <w:tcW w:w="3260" w:type="dxa"/>
            <w:vAlign w:val="center"/>
          </w:tcPr>
          <w:p w:rsidR="00A2702E" w:rsidRPr="00A2702E" w:rsidRDefault="00A2702E" w:rsidP="00A2702E">
            <w:pPr>
              <w:rPr>
                <w:rFonts w:ascii="仿宋" w:eastAsia="仿宋" w:hAnsi="仿宋"/>
                <w:sz w:val="24"/>
                <w:szCs w:val="24"/>
              </w:rPr>
            </w:pPr>
            <w:proofErr w:type="spellStart"/>
            <w:r w:rsidRPr="00A2702E">
              <w:rPr>
                <w:rFonts w:ascii="仿宋" w:eastAsia="仿宋" w:hAnsi="仿宋" w:hint="eastAsia"/>
                <w:sz w:val="24"/>
                <w:szCs w:val="24"/>
              </w:rPr>
              <w:t>mTOR</w:t>
            </w:r>
            <w:proofErr w:type="spellEnd"/>
            <w:r w:rsidRPr="00A2702E">
              <w:rPr>
                <w:rFonts w:ascii="仿宋" w:eastAsia="仿宋" w:hAnsi="仿宋" w:hint="eastAsia"/>
                <w:sz w:val="24"/>
                <w:szCs w:val="24"/>
              </w:rPr>
              <w:t>抑制性蛋白DEPTOR识别磷脂酸的结构生物学研究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10</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18214464</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邓晓梅</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病原生物学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徐培</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EB病毒与登革病毒感染的协同作用研究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11</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18214465</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李丹</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病原生物学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徐培</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一种顺式作用RNA元件在黄热病毒基因组复制中的功能</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12</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18214467</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罗曼辉</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病原生物学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施莽</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间隙连接蛋白Cx43的泛素化修饰参与氧化应激的机制研究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13</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18214469</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蒋依伶</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病理学与病理生理学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张幸鼎</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新型冠状病毒(SARS-CoV-2)编码蛋白相互作用研究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14</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18214470</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邵欣荣</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病理学与病理生理学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张幸鼎</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肾透明细胞癌中TJP1调控自噬的作用及机制研究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15</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18214473</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奉家豪</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基础医学（分子医学）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李昕</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基于网络药理学和转录组学的瓜蒌瞿麦丸治疗二型糖尿病的作用机制研究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16</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18214475</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江怡南</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基础医学（分子医学）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周丽华</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原发性小头畸形相关基因MCPH1调控神经发育的功能研究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17</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18214476</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蒋华连</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基础医学（分</w:t>
            </w:r>
            <w:r w:rsidRPr="00A2702E">
              <w:rPr>
                <w:rFonts w:ascii="仿宋" w:eastAsia="仿宋" w:hAnsi="仿宋" w:hint="eastAsia"/>
                <w:sz w:val="24"/>
                <w:szCs w:val="24"/>
              </w:rPr>
              <w:lastRenderedPageBreak/>
              <w:t>子医学）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lastRenderedPageBreak/>
              <w:t>李春梅</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寨卡病毒NS5与p53相互作用</w:t>
            </w:r>
            <w:r w:rsidRPr="00A2702E">
              <w:rPr>
                <w:rFonts w:ascii="仿宋" w:eastAsia="仿宋" w:hAnsi="仿宋" w:hint="eastAsia"/>
                <w:sz w:val="24"/>
                <w:szCs w:val="24"/>
              </w:rPr>
              <w:lastRenderedPageBreak/>
              <w:t>激活p53信号通路</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lastRenderedPageBreak/>
              <w:t>18</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18214478</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李馨洁</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基础医学（分子医学）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李昕</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膀胱癌肿瘤微环境和相关预后模型的研究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19</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18214480</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梁雪莹</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基础医学（分子医学）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徐培</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Oct-1基因对单纯疱疹病毒Ⅰ型复制能力影响研究</w:t>
            </w:r>
          </w:p>
        </w:tc>
      </w:tr>
      <w:tr w:rsidR="00A2702E" w:rsidRPr="00A2702E" w:rsidTr="00A2702E">
        <w:tc>
          <w:tcPr>
            <w:tcW w:w="675" w:type="dxa"/>
            <w:vAlign w:val="center"/>
          </w:tcPr>
          <w:p w:rsidR="00A2702E" w:rsidRPr="00A2702E" w:rsidRDefault="00A2702E" w:rsidP="00A2702E">
            <w:pPr>
              <w:rPr>
                <w:rFonts w:ascii="仿宋" w:eastAsia="仿宋" w:hAnsi="仿宋" w:cs="宋体"/>
                <w:color w:val="000000"/>
                <w:sz w:val="24"/>
                <w:szCs w:val="24"/>
              </w:rPr>
            </w:pPr>
            <w:r w:rsidRPr="00A2702E">
              <w:rPr>
                <w:rFonts w:ascii="仿宋" w:eastAsia="仿宋" w:hAnsi="仿宋" w:hint="eastAsia"/>
                <w:color w:val="000000"/>
                <w:sz w:val="24"/>
                <w:szCs w:val="24"/>
              </w:rPr>
              <w:t>20</w:t>
            </w:r>
          </w:p>
        </w:tc>
        <w:tc>
          <w:tcPr>
            <w:tcW w:w="1276"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18214482</w:t>
            </w:r>
          </w:p>
        </w:tc>
        <w:tc>
          <w:tcPr>
            <w:tcW w:w="1134"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王苏荣</w:t>
            </w:r>
          </w:p>
        </w:tc>
        <w:tc>
          <w:tcPr>
            <w:tcW w:w="1559"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基础医学（分子医学）</w:t>
            </w:r>
          </w:p>
        </w:tc>
        <w:tc>
          <w:tcPr>
            <w:tcW w:w="993" w:type="dxa"/>
            <w:vAlign w:val="center"/>
          </w:tcPr>
          <w:p w:rsidR="00A2702E" w:rsidRPr="00A2702E" w:rsidRDefault="00A2702E" w:rsidP="00A2702E">
            <w:pPr>
              <w:rPr>
                <w:rFonts w:ascii="仿宋" w:eastAsia="仿宋" w:hAnsi="仿宋" w:cs="宋体"/>
                <w:sz w:val="24"/>
                <w:szCs w:val="24"/>
              </w:rPr>
            </w:pPr>
            <w:r w:rsidRPr="00A2702E">
              <w:rPr>
                <w:rFonts w:ascii="仿宋" w:eastAsia="仿宋" w:hAnsi="仿宋" w:hint="eastAsia"/>
                <w:sz w:val="24"/>
                <w:szCs w:val="24"/>
              </w:rPr>
              <w:t>陈元</w:t>
            </w:r>
          </w:p>
        </w:tc>
        <w:tc>
          <w:tcPr>
            <w:tcW w:w="3260" w:type="dxa"/>
            <w:vAlign w:val="center"/>
          </w:tcPr>
          <w:p w:rsidR="00A2702E" w:rsidRPr="00A2702E" w:rsidRDefault="00A2702E" w:rsidP="00A2702E">
            <w:pPr>
              <w:rPr>
                <w:rFonts w:ascii="仿宋" w:eastAsia="仿宋" w:hAnsi="仿宋"/>
                <w:sz w:val="24"/>
                <w:szCs w:val="24"/>
              </w:rPr>
            </w:pPr>
            <w:r w:rsidRPr="00A2702E">
              <w:rPr>
                <w:rFonts w:ascii="仿宋" w:eastAsia="仿宋" w:hAnsi="仿宋" w:hint="eastAsia"/>
                <w:sz w:val="24"/>
                <w:szCs w:val="24"/>
              </w:rPr>
              <w:t>TMEM16A促进高脂饮食诱导的胰岛素抵抗及机制研究</w:t>
            </w:r>
          </w:p>
        </w:tc>
      </w:tr>
    </w:tbl>
    <w:p w:rsidR="00087503" w:rsidRDefault="00087503"/>
    <w:sectPr w:rsidR="00087503" w:rsidSect="00C61A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503"/>
    <w:rsid w:val="00087503"/>
    <w:rsid w:val="00A2702E"/>
    <w:rsid w:val="00C61AE8"/>
    <w:rsid w:val="00D72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AE8"/>
    <w:pPr>
      <w:widowControl w:val="0"/>
      <w:jc w:val="both"/>
    </w:pPr>
  </w:style>
  <w:style w:type="paragraph" w:styleId="1">
    <w:name w:val="heading 1"/>
    <w:basedOn w:val="a"/>
    <w:link w:val="1Char"/>
    <w:uiPriority w:val="9"/>
    <w:qFormat/>
    <w:rsid w:val="000875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5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08750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1619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2021-06-03T11:41:00Z</dcterms:created>
  <dcterms:modified xsi:type="dcterms:W3CDTF">2021-06-03T12:04:00Z</dcterms:modified>
</cp:coreProperties>
</file>